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6803"/>
      </w:tblGrid>
      <w:tr w:rsidR="00067B9F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8639FE">
            <w:pPr>
              <w:pStyle w:val="Doplnit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2" o:spid="_x0000_s1026" type="#_x0000_t75" style="position:absolute;left:0;text-align:left;margin-left:114.5pt;margin-top:59.65pt;width:211.5pt;height:26.75pt;z-index:251657728;visibility:visible">
                  <v:imagedata r:id="rId7" o:title=""/>
                </v:shape>
              </w:pict>
            </w:r>
          </w:p>
        </w:tc>
      </w:tr>
      <w:tr w:rsidR="00067B9F">
        <w:trPr>
          <w:trHeight w:val="2196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pStyle w:val="Nzev"/>
              <w:spacing w:line="240" w:lineRule="auto"/>
            </w:pPr>
            <w:bookmarkStart w:id="0" w:name="Nazev_Dokumentu"/>
            <w:r>
              <w:t>D.1.1.1. Technická zpráva</w:t>
            </w:r>
          </w:p>
          <w:p w:rsidR="00067B9F" w:rsidRDefault="008639FE">
            <w:pPr>
              <w:pStyle w:val="Nadpis1"/>
              <w:spacing w:line="240" w:lineRule="auto"/>
            </w:pPr>
            <w:hyperlink r:id="rId8" w:anchor="Top" w:history="1">
              <w:bookmarkStart w:id="1" w:name="_Toc532260542"/>
              <w:r w:rsidR="00067B9F">
                <w:rPr>
                  <w:rFonts w:eastAsia="Calibri" w:cs="Times New Roman"/>
                  <w:b w:val="0"/>
                  <w:bCs w:val="0"/>
                  <w:caps w:val="0"/>
                  <w:color w:val="808080"/>
                  <w:sz w:val="20"/>
                  <w:szCs w:val="22"/>
                  <w:u w:val="single"/>
                </w:rPr>
                <w:t>Dokumentace dle vyhlášky č. 499/2006 Sb.</w:t>
              </w:r>
              <w:bookmarkEnd w:id="1"/>
            </w:hyperlink>
            <w:bookmarkEnd w:id="0"/>
          </w:p>
        </w:tc>
      </w:tr>
      <w:tr w:rsidR="00067B9F">
        <w:trPr>
          <w:trHeight w:val="506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pStyle w:val="Nadpis1"/>
              <w:spacing w:line="240" w:lineRule="auto"/>
              <w:rPr>
                <w:rFonts w:eastAsia="Calibri" w:cs="Times New Roman"/>
                <w:b w:val="0"/>
                <w:bCs w:val="0"/>
                <w:caps w:val="0"/>
                <w:sz w:val="22"/>
                <w:szCs w:val="22"/>
              </w:rPr>
            </w:pPr>
          </w:p>
        </w:tc>
      </w:tr>
      <w:tr w:rsidR="00067B9F">
        <w:trPr>
          <w:trHeight w:val="71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400" w:line="240" w:lineRule="auto"/>
              <w:jc w:val="center"/>
            </w:pPr>
            <w:r>
              <w:rPr>
                <w:sz w:val="28"/>
                <w:szCs w:val="28"/>
              </w:rPr>
              <w:t>D.1.1. Architektonické a stavebně technické řešení</w:t>
            </w:r>
          </w:p>
        </w:tc>
      </w:tr>
      <w:tr w:rsidR="00067B9F">
        <w:trPr>
          <w:trHeight w:val="1176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pStyle w:val="Nadpis5"/>
              <w:spacing w:line="240" w:lineRule="auto"/>
            </w:pPr>
            <w:r>
              <w:t>681 – KOUNICKÁ 70, IVANČICE</w:t>
            </w:r>
          </w:p>
          <w:p w:rsidR="00067B9F" w:rsidRDefault="00067B9F">
            <w:pPr>
              <w:spacing w:line="240" w:lineRule="auto"/>
              <w:ind w:left="0"/>
            </w:pPr>
          </w:p>
        </w:tc>
      </w:tr>
      <w:tr w:rsidR="00067B9F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Dokumentace pro provádění stavby</w:t>
            </w:r>
          </w:p>
        </w:tc>
      </w:tr>
      <w:tr w:rsidR="00067B9F">
        <w:trPr>
          <w:trHeight w:val="145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DPS</w:t>
            </w:r>
          </w:p>
        </w:tc>
      </w:tr>
      <w:tr w:rsidR="00067B9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322"/>
            </w:pPr>
            <w:r>
              <w:rPr>
                <w:b/>
              </w:rPr>
              <w:t>Investor: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line="240" w:lineRule="auto"/>
              <w:ind w:left="0"/>
            </w:pPr>
            <w:bookmarkStart w:id="2" w:name="Investor_Jméno"/>
            <w:r>
              <w:t>Město Ivančice</w:t>
            </w:r>
            <w:bookmarkEnd w:id="2"/>
          </w:p>
          <w:p w:rsidR="00067B9F" w:rsidRDefault="00067B9F">
            <w:pPr>
              <w:spacing w:line="240" w:lineRule="auto"/>
              <w:ind w:left="0"/>
            </w:pPr>
            <w:bookmarkStart w:id="3" w:name="Investor_Adresa"/>
            <w:r>
              <w:t>Palackého náměstí 196/6</w:t>
            </w:r>
            <w:bookmarkEnd w:id="3"/>
          </w:p>
          <w:p w:rsidR="00067B9F" w:rsidRDefault="00067B9F">
            <w:pPr>
              <w:spacing w:after="240" w:line="240" w:lineRule="auto"/>
              <w:ind w:left="0"/>
            </w:pPr>
            <w:bookmarkStart w:id="4" w:name="Investor_PSČ_Město"/>
            <w:r>
              <w:t>664 91 Ivančice</w:t>
            </w:r>
            <w:bookmarkEnd w:id="4"/>
          </w:p>
        </w:tc>
      </w:tr>
      <w:tr w:rsidR="00067B9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322"/>
            </w:pPr>
            <w:r>
              <w:rPr>
                <w:b/>
              </w:rPr>
              <w:t>Místo stavby: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8639FE">
            <w:pPr>
              <w:spacing w:line="240" w:lineRule="auto"/>
              <w:ind w:left="0"/>
            </w:pPr>
            <w:bookmarkStart w:id="5" w:name="Stavba_katastr"/>
            <w:r>
              <w:t>Kounická 1112/70</w:t>
            </w:r>
          </w:p>
          <w:p w:rsidR="00067B9F" w:rsidRDefault="008639FE">
            <w:pPr>
              <w:spacing w:line="240" w:lineRule="auto"/>
              <w:ind w:left="0"/>
            </w:pPr>
            <w:r>
              <w:t>664 91, Ivančice</w:t>
            </w:r>
            <w:bookmarkStart w:id="6" w:name="_GoBack"/>
            <w:bookmarkEnd w:id="6"/>
          </w:p>
          <w:bookmarkEnd w:id="5"/>
          <w:p w:rsidR="00067B9F" w:rsidRDefault="00067B9F">
            <w:pPr>
              <w:spacing w:after="240" w:line="240" w:lineRule="auto"/>
              <w:ind w:left="0"/>
            </w:pPr>
          </w:p>
        </w:tc>
      </w:tr>
      <w:tr w:rsidR="00067B9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322"/>
              <w:rPr>
                <w:b/>
              </w:rPr>
            </w:pPr>
            <w:r>
              <w:rPr>
                <w:b/>
              </w:rPr>
              <w:t>Zpracovatel: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line="240" w:lineRule="auto"/>
              <w:ind w:left="0"/>
            </w:pPr>
            <w:bookmarkStart w:id="7" w:name="Zpracovatel_Jméno"/>
            <w:r>
              <w:t>TOLZA, spol. s r.o.</w:t>
            </w:r>
            <w:bookmarkEnd w:id="7"/>
          </w:p>
          <w:p w:rsidR="00067B9F" w:rsidRDefault="00067B9F">
            <w:pPr>
              <w:spacing w:line="240" w:lineRule="auto"/>
              <w:ind w:left="0"/>
            </w:pPr>
            <w:bookmarkStart w:id="8" w:name="Zpracovatel_Adresa"/>
            <w:r>
              <w:t>Kaštanová 539/64</w:t>
            </w:r>
            <w:bookmarkEnd w:id="8"/>
            <w:r>
              <w:t xml:space="preserve"> </w:t>
            </w:r>
          </w:p>
          <w:p w:rsidR="00067B9F" w:rsidRDefault="00067B9F">
            <w:pPr>
              <w:spacing w:after="200" w:line="240" w:lineRule="auto"/>
              <w:ind w:left="0"/>
            </w:pPr>
            <w:bookmarkStart w:id="9" w:name="Zpracovatel_PSČ_Město"/>
            <w:r>
              <w:t>620 00 Brno</w:t>
            </w:r>
            <w:bookmarkEnd w:id="9"/>
          </w:p>
        </w:tc>
      </w:tr>
      <w:tr w:rsidR="00067B9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322"/>
            </w:pPr>
            <w:r>
              <w:rPr>
                <w:b/>
              </w:rPr>
              <w:t>Vypracoval: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0"/>
            </w:pPr>
            <w:r>
              <w:t>Jaromír Křupka</w:t>
            </w:r>
          </w:p>
        </w:tc>
      </w:tr>
      <w:tr w:rsidR="00067B9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322"/>
            </w:pPr>
            <w:r>
              <w:rPr>
                <w:b/>
              </w:rPr>
              <w:t>Datum: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67B9F" w:rsidRDefault="00067B9F">
            <w:pPr>
              <w:spacing w:after="200" w:line="240" w:lineRule="auto"/>
              <w:ind w:left="0"/>
            </w:pPr>
            <w:r>
              <w:t>30.11.2018</w:t>
            </w:r>
          </w:p>
        </w:tc>
      </w:tr>
    </w:tbl>
    <w:p w:rsidR="00067B9F" w:rsidRDefault="00067B9F">
      <w:pPr>
        <w:pStyle w:val="Nadpisobsahu"/>
      </w:pPr>
      <w:r>
        <w:lastRenderedPageBreak/>
        <w:t>Obsah</w:t>
      </w:r>
    </w:p>
    <w:p w:rsidR="00212295" w:rsidRDefault="00067B9F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32260542" w:history="1">
        <w:r w:rsidR="00212295" w:rsidRPr="004B2820">
          <w:rPr>
            <w:rStyle w:val="Hypertextovodkaz"/>
            <w:noProof/>
          </w:rPr>
          <w:t>Dokumentace dle vyhlášky č. 499/2006 Sb.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_Toc532260542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1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3" w:history="1">
        <w:r w:rsidR="00212295" w:rsidRPr="004B2820">
          <w:rPr>
            <w:rStyle w:val="Hypertextovodkaz"/>
            <w:noProof/>
          </w:rPr>
          <w:t>SO01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_Toc532260543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1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4" w:history="1">
        <w:r w:rsidR="00212295" w:rsidRPr="004B2820">
          <w:rPr>
            <w:rStyle w:val="Hypertextovodkaz"/>
            <w:noProof/>
          </w:rPr>
          <w:t>D.1.1.1. TECHNICKÁ ZPRÁVA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_Toc532260544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3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5" w:history="1">
        <w:r w:rsidR="00212295" w:rsidRPr="004B2820">
          <w:rPr>
            <w:rStyle w:val="Hypertextovodkaz"/>
            <w:noProof/>
          </w:rPr>
          <w:t>1. Zadání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_Toc532260545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3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6" w:history="1">
        <w:r w:rsidR="00212295" w:rsidRPr="004B2820">
          <w:rPr>
            <w:rStyle w:val="Hypertextovodkaz"/>
            <w:noProof/>
          </w:rPr>
          <w:t>2. Účel objektu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_Toc532260546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7" w:history="1">
        <w:r w:rsidR="00212295" w:rsidRPr="004B2820">
          <w:rPr>
            <w:rStyle w:val="Hypertextovodkaz"/>
            <w:noProof/>
          </w:rPr>
          <w:t>3. Zásady architektonického, funkčního, dispozičního a výtvarného řešení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_Toc532260547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8" w:history="1">
        <w:r w:rsidR="00212295" w:rsidRPr="004B2820">
          <w:rPr>
            <w:rStyle w:val="Hypertextovodkaz"/>
            <w:noProof/>
          </w:rPr>
          <w:t>4. Řešení přístupu a užívání objektu osobami s omezenou schopností pohybu a orientace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_Toc532260548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49" w:history="1">
        <w:r w:rsidR="00212295" w:rsidRPr="004B2820">
          <w:rPr>
            <w:rStyle w:val="Hypertextovodkaz"/>
            <w:noProof/>
          </w:rPr>
          <w:t>5. Kapacity, užitkové plochy, obestavěné prostory, zastavěné plochy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_Toc532260549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0" w:history="1">
        <w:r w:rsidR="00212295" w:rsidRPr="004B2820">
          <w:rPr>
            <w:rStyle w:val="Hypertextovodkaz"/>
            <w:noProof/>
          </w:rPr>
          <w:t>6. Technické a konstrukční řešení objektu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_Toc532260550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1" w:history="1">
        <w:r w:rsidR="00212295" w:rsidRPr="004B2820">
          <w:rPr>
            <w:rStyle w:val="Hypertextovodkaz"/>
            <w:noProof/>
          </w:rPr>
          <w:t>6.1. Bourací Práce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_Toc532260551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4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2" w:history="1">
        <w:r w:rsidR="00212295" w:rsidRPr="004B2820">
          <w:rPr>
            <w:rStyle w:val="Hypertextovodkaz"/>
            <w:noProof/>
          </w:rPr>
          <w:t>6.2. Práce HSV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_Toc532260552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5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3" w:history="1">
        <w:r w:rsidR="00212295" w:rsidRPr="004B2820">
          <w:rPr>
            <w:rStyle w:val="Hypertextovodkaz"/>
            <w:noProof/>
          </w:rPr>
          <w:t>6.3. Práce PSV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_Toc532260553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6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4" w:history="1">
        <w:r w:rsidR="00212295" w:rsidRPr="004B2820">
          <w:rPr>
            <w:rStyle w:val="Hypertextovodkaz"/>
            <w:noProof/>
          </w:rPr>
          <w:t>7. Tepelně technické vlastnosti stavebních konstrukcí a výplní otvorů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_Toc532260554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5" w:history="1">
        <w:r w:rsidR="00212295" w:rsidRPr="004B2820">
          <w:rPr>
            <w:rStyle w:val="Hypertextovodkaz"/>
            <w:noProof/>
          </w:rPr>
          <w:t>8. Způsob založení objektu s ohledem na výsledky inženýrsko-geologického a hydrogeologického průzkumu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_Toc532260555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6" w:history="1">
        <w:r w:rsidR="00212295" w:rsidRPr="004B2820">
          <w:rPr>
            <w:rStyle w:val="Hypertextovodkaz"/>
            <w:noProof/>
          </w:rPr>
          <w:t>8.1. není součástí tohoto projektu.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_Toc532260556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7" w:history="1">
        <w:r w:rsidR="00212295" w:rsidRPr="004B2820">
          <w:rPr>
            <w:rStyle w:val="Hypertextovodkaz"/>
            <w:noProof/>
          </w:rPr>
          <w:t>9. vliv objektu a jeho užívání na životní prostředí a řešení případných negativních účinků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_Toc532260557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8" w:history="1">
        <w:r w:rsidR="00212295" w:rsidRPr="004B2820">
          <w:rPr>
            <w:rStyle w:val="Hypertextovodkaz"/>
            <w:noProof/>
          </w:rPr>
          <w:t>10. Dopravní řešení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_Toc532260558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59" w:history="1">
        <w:r w:rsidR="00212295" w:rsidRPr="004B2820">
          <w:rPr>
            <w:rStyle w:val="Hypertextovodkaz"/>
            <w:noProof/>
          </w:rPr>
          <w:t>11. Ochrana stavby před škodlivými vlivy vnějšího prostředí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_Toc532260559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212295" w:rsidRDefault="008639FE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hyperlink w:anchor="_Toc532260560" w:history="1">
        <w:r w:rsidR="00212295" w:rsidRPr="004B2820">
          <w:rPr>
            <w:rStyle w:val="Hypertextovodkaz"/>
            <w:noProof/>
          </w:rPr>
          <w:t>12. Dodržení obecných požadavků na výstavbu</w:t>
        </w:r>
        <w:r w:rsidR="00212295">
          <w:rPr>
            <w:noProof/>
            <w:webHidden/>
          </w:rPr>
          <w:tab/>
        </w:r>
        <w:r w:rsidR="00212295">
          <w:rPr>
            <w:noProof/>
            <w:webHidden/>
          </w:rPr>
          <w:fldChar w:fldCharType="begin"/>
        </w:r>
        <w:r w:rsidR="00212295">
          <w:rPr>
            <w:noProof/>
            <w:webHidden/>
          </w:rPr>
          <w:instrText xml:space="preserve"> PAGEREF _Toc532260560 \h </w:instrText>
        </w:r>
        <w:r w:rsidR="00212295">
          <w:rPr>
            <w:noProof/>
            <w:webHidden/>
          </w:rPr>
        </w:r>
        <w:r w:rsidR="00212295">
          <w:rPr>
            <w:noProof/>
            <w:webHidden/>
          </w:rPr>
          <w:fldChar w:fldCharType="separate"/>
        </w:r>
        <w:r w:rsidR="006E4A67">
          <w:rPr>
            <w:noProof/>
            <w:webHidden/>
          </w:rPr>
          <w:t>8</w:t>
        </w:r>
        <w:r w:rsidR="00212295">
          <w:rPr>
            <w:noProof/>
            <w:webHidden/>
          </w:rPr>
          <w:fldChar w:fldCharType="end"/>
        </w:r>
      </w:hyperlink>
    </w:p>
    <w:p w:rsidR="00067B9F" w:rsidRDefault="00067B9F">
      <w:r>
        <w:rPr>
          <w:b/>
          <w:bCs/>
        </w:rPr>
        <w:fldChar w:fldCharType="end"/>
      </w:r>
    </w:p>
    <w:p w:rsidR="00067B9F" w:rsidRDefault="00067B9F">
      <w:pPr>
        <w:spacing w:after="200"/>
        <w:ind w:left="0"/>
      </w:pPr>
    </w:p>
    <w:p w:rsidR="00067B9F" w:rsidRDefault="00067B9F">
      <w:pPr>
        <w:spacing w:after="200"/>
        <w:ind w:left="0"/>
        <w:rPr>
          <w:b/>
          <w:bCs/>
          <w:caps/>
          <w:sz w:val="24"/>
          <w:szCs w:val="26"/>
        </w:rPr>
      </w:pPr>
      <w:r>
        <w:br w:type="page"/>
      </w:r>
    </w:p>
    <w:p w:rsidR="00067B9F" w:rsidRDefault="00067B9F">
      <w:pPr>
        <w:pStyle w:val="Nadpis2"/>
        <w:numPr>
          <w:ilvl w:val="0"/>
          <w:numId w:val="0"/>
        </w:numPr>
        <w:ind w:left="284"/>
        <w:jc w:val="center"/>
      </w:pPr>
      <w:bookmarkStart w:id="10" w:name="_Toc532260544"/>
      <w:r>
        <w:t>D.1.1.1. TECHNICKÁ ZPRÁVA</w:t>
      </w:r>
      <w:bookmarkEnd w:id="10"/>
    </w:p>
    <w:p w:rsidR="00067B9F" w:rsidRDefault="00067B9F">
      <w:pPr>
        <w:pStyle w:val="Nadpis2"/>
      </w:pPr>
      <w:bookmarkStart w:id="11" w:name="_Toc532260545"/>
      <w:r>
        <w:t>Zadání</w:t>
      </w:r>
      <w:bookmarkEnd w:id="11"/>
    </w:p>
    <w:p w:rsidR="00067B9F" w:rsidRDefault="00067B9F">
      <w:pPr>
        <w:jc w:val="both"/>
      </w:pPr>
      <w:r>
        <w:t>Projektant předpokládá, že Zhotovitel je odborně způsobilá stavební firma, a proto odpovědností účastníka výběrového řízení je, aby přesně stanovil rozsah prací prostřednictvím prozkoumání a prodiskutování veškeré dokumentace s příslušnými stranami – investorem, projektantem, dodavateli výrobků atd. Žádné nároky na základě chybějící znalosti nebudou uznány.</w:t>
      </w:r>
    </w:p>
    <w:p w:rsidR="00067B9F" w:rsidRDefault="00067B9F">
      <w:pPr>
        <w:jc w:val="both"/>
      </w:pPr>
      <w:r>
        <w:t>Zhotovitel doplní poskytnuté informace svými vlastními znalostmi a zkušenostmi tak, aby mohl připravit nabídku a je plnou Zhotovitelovou zodpovědností učinit potřebné dotazy, jak to pro tento účel považuje za nutné.</w:t>
      </w:r>
    </w:p>
    <w:p w:rsidR="00067B9F" w:rsidRDefault="00067B9F">
      <w:pPr>
        <w:jc w:val="both"/>
      </w:pPr>
      <w:r>
        <w:t xml:space="preserve">Je povinností Zhotovitele opatřit si všechny potřebné informace tak, aby mohl předložit pevnou cenu a kvalifikovanou nabídku, podle které zhotoví stavbu podle požadavků Objednatele. </w:t>
      </w:r>
    </w:p>
    <w:p w:rsidR="00067B9F" w:rsidRDefault="00067B9F">
      <w:pPr>
        <w:jc w:val="both"/>
      </w:pPr>
      <w:r>
        <w:t>V případě, že Zhotovitel chce specifikovat jakékoliv položky obsažené v cenové nabídce, je nutné je k této cenové nabídce přiložit. Ty cenové nabídky, které budou postrádat dodatečné specifikace, budou pokládány za plně porozuměné požadavkům Objednatele, bez jakýchkoliv dodatků.</w:t>
      </w:r>
    </w:p>
    <w:p w:rsidR="00067B9F" w:rsidRDefault="00067B9F">
      <w:pPr>
        <w:jc w:val="both"/>
      </w:pPr>
      <w:r>
        <w:t>Zhotovitel uvede, zvláště u výrobků PSV, podrobné popsání těchto výrobků (včetně specifikace jejich výrobců), jež byly použity při sestavování nabídkové ceny.</w:t>
      </w:r>
    </w:p>
    <w:p w:rsidR="00067B9F" w:rsidRDefault="00067B9F">
      <w:pPr>
        <w:jc w:val="both"/>
      </w:pPr>
      <w:r>
        <w:t>Standard stavby a použitých materiálů je stanoven v této projektové dokumentaci formou názvu výrobku s uvedením zásadních požadovaných parametrů. Tyto standardy jsou závazné. Dodávka uvedených výrobců materiálu určující standard není nutně požadována, zhotovitel může nabídnout jiný výrobek (výrobce) pokud jejich standard bude odpovídat standardům, uvedeným v této PD. Výjimku tvoří nařízené subdodávky Objednatele.</w:t>
      </w:r>
    </w:p>
    <w:p w:rsidR="00067B9F" w:rsidRDefault="00067B9F">
      <w:pPr>
        <w:jc w:val="both"/>
      </w:pPr>
      <w:r>
        <w:t>V případech, kdy v projektové dokumentaci není uveden druh materiálu či výrobku nebo není uveden výrobce, anebo kdy Zhotovitel navrhuje jiný rovnocenný výrobek, musí Zhotovitel předložit své návrhy s technickým popisem a s cenou ke schválení.</w:t>
      </w:r>
    </w:p>
    <w:p w:rsidR="00067B9F" w:rsidRDefault="00067B9F">
      <w:pPr>
        <w:jc w:val="both"/>
      </w:pPr>
      <w:r>
        <w:t>Závazek Zhotovitele je vybudovat dílo kompletní ve všech řemeslech. Pokud by měl zhotovitel dojem, že je v dokumentaci něco opomenuto nebo je něco nejasného, musí toto uvést při podání nabídky. Jestliže tak neučiní, předpokládá se, že zahrnul vše nutné pro vybudování díla.</w:t>
      </w:r>
    </w:p>
    <w:p w:rsidR="00067B9F" w:rsidRDefault="00067B9F">
      <w:pPr>
        <w:jc w:val="both"/>
      </w:pPr>
      <w:r>
        <w:t>Zhotovitel je povinen zajistit, že veškeré materiály používané při výstavbě jsou v souladu s projektovou dokumentací, odpovídajícími českými normami a platnými vyhláškami. Zhotovitel je rovněž povinen zajistit, že všechny importované materiály a zařízení mají platné České certifikáty a že jsou v souladu s relevantními předpisy ČSN a zkušebními požadavky.</w:t>
      </w:r>
    </w:p>
    <w:p w:rsidR="00067B9F" w:rsidRDefault="00067B9F">
      <w:pPr>
        <w:jc w:val="both"/>
      </w:pPr>
      <w:r>
        <w:t>TDI na základě pověření Objednatelem bude mít svrchovanou pravomoc při řešení všech záležitostí a případných neshod týkajících se kvality materiálu.</w:t>
      </w:r>
    </w:p>
    <w:p w:rsidR="00067B9F" w:rsidRDefault="00067B9F">
      <w:pPr>
        <w:jc w:val="both"/>
      </w:pPr>
    </w:p>
    <w:p w:rsidR="00067B9F" w:rsidRDefault="00067B9F">
      <w:pPr>
        <w:pStyle w:val="Nadpis2"/>
      </w:pPr>
      <w:bookmarkStart w:id="12" w:name="_Toc532260546"/>
      <w:r>
        <w:t>Účel objektu</w:t>
      </w:r>
      <w:bookmarkEnd w:id="12"/>
    </w:p>
    <w:p w:rsidR="00067B9F" w:rsidRDefault="00067B9F">
      <w:r>
        <w:t>Jedná se o stavební úpravy stávajícího objektu – Oprava krovu, výměna střešní krytiny, zateplení stropů, zateplení svislých obvodových konstrukcí vnitřním zateplením systémem se zachováním a opravou stávající fasády, oprava stávající</w:t>
      </w:r>
      <w:r w:rsidR="00EF295A">
        <w:t>ho</w:t>
      </w:r>
      <w:r>
        <w:t xml:space="preserve"> balkónu, oprava výměnou stávajících rozvodů</w:t>
      </w:r>
      <w:r w:rsidR="00982434">
        <w:t xml:space="preserve"> ZTI</w:t>
      </w:r>
      <w:r>
        <w:t>,</w:t>
      </w:r>
      <w:r w:rsidR="00982434">
        <w:t xml:space="preserve"> elektro, vytápění,</w:t>
      </w:r>
      <w:r>
        <w:t xml:space="preserve"> oprava podlah, kompletní výměna vnějších otvorů, oprava vnitřních otvorů včetně zárubní, návrh celkové rekuperace a návrh </w:t>
      </w:r>
      <w:r w:rsidR="00982434">
        <w:t>ře</w:t>
      </w:r>
      <w:r>
        <w:t>šení odvodnění kolem budovy.</w:t>
      </w:r>
      <w:r w:rsidR="00982434">
        <w:t xml:space="preserve"> Dále vybudování nové vodovodní přípojky a opravy kanalizace.</w:t>
      </w:r>
    </w:p>
    <w:p w:rsidR="00067B9F" w:rsidRDefault="00067B9F">
      <w:pPr>
        <w:pStyle w:val="Odstavecseseznamem"/>
        <w:numPr>
          <w:ilvl w:val="0"/>
          <w:numId w:val="23"/>
        </w:numPr>
      </w:pPr>
      <w:r>
        <w:t>Druh pozemku: zastavěná plocha a nádvořím</w:t>
      </w:r>
    </w:p>
    <w:p w:rsidR="00067B9F" w:rsidRDefault="00067B9F">
      <w:pPr>
        <w:pStyle w:val="Odstavecseseznamem"/>
        <w:numPr>
          <w:ilvl w:val="0"/>
          <w:numId w:val="23"/>
        </w:numPr>
      </w:pPr>
      <w:r>
        <w:t>Budova s číslem</w:t>
      </w:r>
      <w:r>
        <w:rPr>
          <w:b/>
        </w:rPr>
        <w:t xml:space="preserve"> </w:t>
      </w:r>
      <w:r>
        <w:t>popisným: č. p. 1112; objekt občanské vybavenosti</w:t>
      </w:r>
    </w:p>
    <w:p w:rsidR="00067B9F" w:rsidRDefault="00067B9F">
      <w:pPr>
        <w:pStyle w:val="Odstavecseseznamem"/>
        <w:numPr>
          <w:ilvl w:val="0"/>
          <w:numId w:val="23"/>
        </w:numPr>
      </w:pPr>
      <w:r>
        <w:t>Stavba stojí na pozemku: p. č. st. 60/6</w:t>
      </w:r>
    </w:p>
    <w:p w:rsidR="00067B9F" w:rsidRPr="00982434" w:rsidRDefault="00067B9F">
      <w:pPr>
        <w:pStyle w:val="Nadpis2"/>
        <w:rPr>
          <w:color w:val="auto"/>
        </w:rPr>
      </w:pPr>
      <w:bookmarkStart w:id="13" w:name="_Toc532260547"/>
      <w:r>
        <w:t xml:space="preserve">Zásady architektonického, funkčního, dispozičního a </w:t>
      </w:r>
      <w:r w:rsidRPr="00982434">
        <w:rPr>
          <w:color w:val="auto"/>
        </w:rPr>
        <w:t>výtvarného řešení</w:t>
      </w:r>
      <w:bookmarkEnd w:id="13"/>
      <w:r w:rsidRPr="00982434">
        <w:rPr>
          <w:color w:val="auto"/>
        </w:rPr>
        <w:t xml:space="preserve"> </w:t>
      </w:r>
    </w:p>
    <w:p w:rsidR="00067B9F" w:rsidRPr="00982434" w:rsidRDefault="00067B9F">
      <w:pPr>
        <w:jc w:val="both"/>
        <w:rPr>
          <w:b/>
          <w:color w:val="auto"/>
        </w:rPr>
      </w:pPr>
      <w:r w:rsidRPr="00982434">
        <w:rPr>
          <w:b/>
          <w:color w:val="auto"/>
        </w:rPr>
        <w:t>Urbanismus:</w:t>
      </w:r>
    </w:p>
    <w:p w:rsidR="00067B9F" w:rsidRDefault="00067B9F">
      <w:r>
        <w:t>Objekt se skládá z jedné budovy. Hlavní vstup i vedlejší vstup do budovy je z nádvoří objektu. Do suterén je vstup přes plechový sklad, který sousedí s budovou. Vstupy budou zachovány. Plechový sklad bude odstraněný a vstup do suterénu bude přes nově navržený dřevěný altánek.</w:t>
      </w:r>
    </w:p>
    <w:p w:rsidR="00067B9F" w:rsidRDefault="00067B9F">
      <w:pPr>
        <w:pStyle w:val="Nadpis2"/>
        <w:keepNext w:val="0"/>
        <w:keepLines w:val="0"/>
      </w:pPr>
      <w:bookmarkStart w:id="14" w:name="_Toc532260548"/>
      <w:r>
        <w:t>Řešení přístupu a užívání objektu osobami s omezenou schopností pohybu a orientace</w:t>
      </w:r>
      <w:bookmarkEnd w:id="14"/>
    </w:p>
    <w:p w:rsidR="00067B9F" w:rsidRDefault="00067B9F">
      <w:bookmarkStart w:id="15" w:name="_Toc442097024"/>
      <w:r>
        <w:t>Není součástí tohoto projektu. Objekt není uvažován jako bezbariérový.</w:t>
      </w:r>
    </w:p>
    <w:p w:rsidR="00067B9F" w:rsidRDefault="00067B9F">
      <w:pPr>
        <w:pStyle w:val="Nadpis2"/>
        <w:keepNext w:val="0"/>
        <w:keepLines w:val="0"/>
      </w:pPr>
      <w:bookmarkStart w:id="16" w:name="_Toc532260549"/>
      <w:r>
        <w:t>Kapacity, užitkové plochy, obestavěné prostory, zastavěné plochy</w:t>
      </w:r>
      <w:bookmarkEnd w:id="15"/>
      <w:bookmarkEnd w:id="16"/>
    </w:p>
    <w:p w:rsidR="00D27093" w:rsidRDefault="00D27093" w:rsidP="00D27093">
      <w:pPr>
        <w:rPr>
          <w:color w:val="auto"/>
        </w:rPr>
      </w:pPr>
      <w:r>
        <w:rPr>
          <w:color w:val="auto"/>
        </w:rPr>
        <w:t xml:space="preserve">Počet podzemních podlaží: částečně podsklepený </w:t>
      </w:r>
    </w:p>
    <w:p w:rsidR="00D27093" w:rsidRDefault="00D27093" w:rsidP="00D27093">
      <w:pPr>
        <w:rPr>
          <w:color w:val="auto"/>
        </w:rPr>
      </w:pPr>
      <w:r>
        <w:rPr>
          <w:color w:val="auto"/>
        </w:rPr>
        <w:t>Počet nadzemních podlaží: 2 + podkroví</w:t>
      </w:r>
    </w:p>
    <w:p w:rsidR="00212295" w:rsidRPr="00D27093" w:rsidRDefault="00212295" w:rsidP="00D27093">
      <w:pPr>
        <w:rPr>
          <w:color w:val="auto"/>
        </w:rPr>
      </w:pPr>
    </w:p>
    <w:p w:rsidR="00067B9F" w:rsidRPr="00D27093" w:rsidRDefault="00067B9F">
      <w:pPr>
        <w:pStyle w:val="Bezmezer1"/>
        <w:ind w:left="568" w:hanging="284"/>
        <w:rPr>
          <w:color w:val="auto"/>
        </w:rPr>
      </w:pPr>
      <w:bookmarkStart w:id="17" w:name="_Toc442097025"/>
      <w:r w:rsidRPr="00D27093">
        <w:rPr>
          <w:color w:val="auto"/>
        </w:rPr>
        <w:t>zastavěná plocha</w:t>
      </w:r>
      <w:r w:rsidRPr="00D27093">
        <w:rPr>
          <w:color w:val="auto"/>
        </w:rPr>
        <w:tab/>
      </w:r>
      <w:r w:rsidR="00D27093" w:rsidRPr="00D27093">
        <w:rPr>
          <w:color w:val="auto"/>
        </w:rPr>
        <w:t xml:space="preserve"> </w:t>
      </w:r>
      <w:r w:rsidR="00D27093" w:rsidRPr="00D27093">
        <w:rPr>
          <w:color w:val="auto"/>
        </w:rPr>
        <w:tab/>
        <w:t>287,30</w:t>
      </w:r>
      <w:r w:rsidRPr="00D27093">
        <w:rPr>
          <w:color w:val="auto"/>
        </w:rPr>
        <w:t>m</w:t>
      </w:r>
      <w:r w:rsidRPr="00D27093">
        <w:rPr>
          <w:color w:val="auto"/>
          <w:vertAlign w:val="superscript"/>
        </w:rPr>
        <w:t>2</w:t>
      </w:r>
    </w:p>
    <w:p w:rsidR="00067B9F" w:rsidRPr="00D27093" w:rsidRDefault="00067B9F">
      <w:pPr>
        <w:pStyle w:val="Bezmezer1"/>
        <w:ind w:left="568" w:hanging="284"/>
        <w:rPr>
          <w:color w:val="auto"/>
        </w:rPr>
      </w:pPr>
      <w:r w:rsidRPr="00D27093">
        <w:rPr>
          <w:color w:val="auto"/>
        </w:rPr>
        <w:t>obestavěný prostor</w:t>
      </w:r>
      <w:r w:rsidRPr="00D27093">
        <w:rPr>
          <w:color w:val="auto"/>
        </w:rPr>
        <w:tab/>
      </w:r>
      <w:r w:rsidR="00D27093" w:rsidRPr="00D27093">
        <w:rPr>
          <w:color w:val="auto"/>
        </w:rPr>
        <w:tab/>
        <w:t>3367,40</w:t>
      </w:r>
      <w:r w:rsidRPr="00D27093">
        <w:rPr>
          <w:color w:val="auto"/>
        </w:rPr>
        <w:t>m</w:t>
      </w:r>
      <w:r w:rsidRPr="00D27093">
        <w:rPr>
          <w:color w:val="auto"/>
          <w:vertAlign w:val="superscript"/>
        </w:rPr>
        <w:t>3</w:t>
      </w:r>
    </w:p>
    <w:p w:rsidR="00067B9F" w:rsidRDefault="00067B9F">
      <w:pPr>
        <w:pStyle w:val="Nadpis2"/>
        <w:keepNext w:val="0"/>
        <w:keepLines w:val="0"/>
      </w:pPr>
      <w:bookmarkStart w:id="18" w:name="_Toc532260550"/>
      <w:r>
        <w:t>Technické a konstrukční řešení objektu</w:t>
      </w:r>
      <w:bookmarkEnd w:id="17"/>
      <w:bookmarkEnd w:id="18"/>
    </w:p>
    <w:p w:rsidR="00D27093" w:rsidRDefault="00D27093">
      <w:pPr>
        <w:pStyle w:val="Nadpis3"/>
        <w:keepNext w:val="0"/>
        <w:keepLines w:val="0"/>
        <w:ind w:left="624" w:hanging="624"/>
      </w:pPr>
      <w:bookmarkStart w:id="19" w:name="_Toc532260551"/>
      <w:r>
        <w:t>Bourací Práce</w:t>
      </w:r>
      <w:bookmarkEnd w:id="19"/>
    </w:p>
    <w:p w:rsidR="00D27093" w:rsidRDefault="00D27093" w:rsidP="00D27093">
      <w:pPr>
        <w:numPr>
          <w:ilvl w:val="3"/>
          <w:numId w:val="22"/>
        </w:numPr>
      </w:pPr>
      <w:r>
        <w:t xml:space="preserve">Bourací práce budou </w:t>
      </w:r>
      <w:proofErr w:type="spellStart"/>
      <w:r>
        <w:t>provádeny</w:t>
      </w:r>
      <w:proofErr w:type="spellEnd"/>
      <w:r>
        <w:t xml:space="preserve"> v rámci odstranění plechové skladu včetně betonové podlahy a konstrukcí vstupu do 1.PP.</w:t>
      </w:r>
    </w:p>
    <w:p w:rsidR="00D27093" w:rsidRDefault="00D27093" w:rsidP="00D27093">
      <w:pPr>
        <w:numPr>
          <w:ilvl w:val="3"/>
          <w:numId w:val="22"/>
        </w:numPr>
      </w:pPr>
      <w:r>
        <w:t xml:space="preserve">Součástí bouracích prací je i odstranění vnitřních omítek po obvodu objektu, částečné odstranění nesoudržných omítek fasády objektu, vybourání a odstranění podlah po záklop stropů, </w:t>
      </w:r>
      <w:proofErr w:type="spellStart"/>
      <w:r>
        <w:t>odstarnění</w:t>
      </w:r>
      <w:proofErr w:type="spellEnd"/>
      <w:r>
        <w:t xml:space="preserve"> krytiny včetně oplechování a střešních svodů.</w:t>
      </w:r>
    </w:p>
    <w:p w:rsidR="00D27093" w:rsidRDefault="00067B9F" w:rsidP="00D27093">
      <w:pPr>
        <w:numPr>
          <w:ilvl w:val="3"/>
          <w:numId w:val="22"/>
        </w:numPr>
      </w:pPr>
      <w:r>
        <w:lastRenderedPageBreak/>
        <w:t xml:space="preserve">Dále budou vybourány okna, vstupní dveře, vnitřní dřevěné dveře, kompletní rozvody vnitřní instalace (v případě, že budou rozvody v kolizi s návrhem nových vedení), zařizovací předměty a v prostoru půdy </w:t>
      </w:r>
      <w:proofErr w:type="spellStart"/>
      <w:r>
        <w:t>nenesné</w:t>
      </w:r>
      <w:proofErr w:type="spellEnd"/>
      <w:r>
        <w:t xml:space="preserve"> příčky a podlaha pro její úpravu.</w:t>
      </w:r>
    </w:p>
    <w:p w:rsidR="00067B9F" w:rsidRDefault="00067B9F" w:rsidP="00D27093">
      <w:pPr>
        <w:numPr>
          <w:ilvl w:val="3"/>
          <w:numId w:val="22"/>
        </w:numPr>
      </w:pPr>
      <w:r>
        <w:t xml:space="preserve">Další bourací práce jsou spojeny s prováděním nové vodovodní přípojky, opravy kanalizace a rekonstrukce okapových chodníků. </w:t>
      </w:r>
    </w:p>
    <w:p w:rsidR="00D27093" w:rsidRPr="00D27093" w:rsidRDefault="00067B9F" w:rsidP="00067B9F">
      <w:pPr>
        <w:numPr>
          <w:ilvl w:val="3"/>
          <w:numId w:val="22"/>
        </w:numPr>
      </w:pPr>
      <w:r>
        <w:t>Hromosvod bude odstraněn a znovu nainstalován.</w:t>
      </w:r>
    </w:p>
    <w:p w:rsidR="00067B9F" w:rsidRDefault="00067B9F">
      <w:pPr>
        <w:pStyle w:val="Nadpis3"/>
        <w:keepNext w:val="0"/>
        <w:keepLines w:val="0"/>
        <w:ind w:left="624" w:hanging="624"/>
      </w:pPr>
      <w:bookmarkStart w:id="20" w:name="_Toc532260552"/>
      <w:r>
        <w:t>Práce HSV</w:t>
      </w:r>
      <w:bookmarkEnd w:id="20"/>
    </w:p>
    <w:p w:rsidR="00067B9F" w:rsidRDefault="00067B9F">
      <w:pPr>
        <w:pStyle w:val="Nadpis4"/>
      </w:pPr>
      <w:r>
        <w:t>Zemní práce</w:t>
      </w:r>
    </w:p>
    <w:p w:rsidR="00067B9F" w:rsidRDefault="00067B9F" w:rsidP="00067B9F">
      <w:pPr>
        <w:numPr>
          <w:ilvl w:val="3"/>
          <w:numId w:val="22"/>
        </w:numPr>
      </w:pPr>
      <w:r>
        <w:t>Budou prováděny v souvislosti s realizací nové vodovodní přípojky a rekonstrukce kanalizace. Dále budou prováděny dle potřeb při úpravě vstupu do 1.PP, příjezdu k objektu a opravy okapových chodníků.</w:t>
      </w:r>
    </w:p>
    <w:p w:rsidR="00067B9F" w:rsidRDefault="00067B9F">
      <w:pPr>
        <w:pStyle w:val="Nadpis4"/>
      </w:pPr>
      <w:bookmarkStart w:id="21" w:name="_Toc442097027"/>
      <w:r>
        <w:t>Základové konstrukce</w:t>
      </w:r>
      <w:bookmarkEnd w:id="21"/>
    </w:p>
    <w:p w:rsidR="00067B9F" w:rsidRDefault="00067B9F">
      <w:pPr>
        <w:numPr>
          <w:ilvl w:val="3"/>
          <w:numId w:val="22"/>
        </w:numPr>
      </w:pPr>
      <w:r>
        <w:t>Základové konstrukce jsou součástí nových bočních zdí při rekonstrukci vstupu do 1.PP.  Jedná se o založení zdí ze ztraceného bednění a osazení betonových stupňů schodiště do 1.PP. Dále založení nosných sloupů nově navrženého dřevěného altánku.</w:t>
      </w:r>
    </w:p>
    <w:p w:rsidR="00067B9F" w:rsidRDefault="00067B9F">
      <w:pPr>
        <w:pStyle w:val="Nadpis4"/>
      </w:pPr>
      <w:bookmarkStart w:id="22" w:name="_Toc442097028"/>
      <w:r>
        <w:t>Svislé nosné konstrukce</w:t>
      </w:r>
      <w:bookmarkEnd w:id="22"/>
    </w:p>
    <w:p w:rsidR="00067B9F" w:rsidRDefault="00067B9F">
      <w:pPr>
        <w:numPr>
          <w:ilvl w:val="3"/>
          <w:numId w:val="22"/>
        </w:numPr>
      </w:pPr>
      <w:r>
        <w:t xml:space="preserve">Do svislých nosných konstrukcí nebude zasahováno. Jedná se pouze o opravu omítek, případně budou provedený drážky pro rozvod instalací. Dále budou </w:t>
      </w:r>
      <w:proofErr w:type="spellStart"/>
      <w:r>
        <w:t>provedny</w:t>
      </w:r>
      <w:proofErr w:type="spellEnd"/>
      <w:r>
        <w:t xml:space="preserve"> výměny dveří včetně zárubní a oken.</w:t>
      </w:r>
    </w:p>
    <w:p w:rsidR="00067B9F" w:rsidRDefault="00067B9F">
      <w:pPr>
        <w:pStyle w:val="Nadpis4"/>
      </w:pPr>
      <w:bookmarkStart w:id="23" w:name="_Toc442097029"/>
      <w:r>
        <w:t>Svislé nenosné konstrukce</w:t>
      </w:r>
      <w:bookmarkEnd w:id="23"/>
    </w:p>
    <w:p w:rsidR="00067B9F" w:rsidRDefault="00067B9F" w:rsidP="00067B9F">
      <w:pPr>
        <w:numPr>
          <w:ilvl w:val="3"/>
          <w:numId w:val="22"/>
        </w:numPr>
      </w:pPr>
      <w:r>
        <w:t xml:space="preserve">V prostoru půdy budou provedený opravy a zateplení s obkladem SDK desek </w:t>
      </w:r>
      <w:proofErr w:type="spellStart"/>
      <w:r>
        <w:t>stávajícíh</w:t>
      </w:r>
      <w:proofErr w:type="spellEnd"/>
      <w:r>
        <w:t xml:space="preserve"> dřevěných konstrukcí tak, aby se zlepšily tepelně </w:t>
      </w:r>
      <w:proofErr w:type="spellStart"/>
      <w:r>
        <w:t>technickáé</w:t>
      </w:r>
      <w:proofErr w:type="spellEnd"/>
      <w:r>
        <w:t xml:space="preserve"> vlastnosti včetně stropů. Bude provedena oprava omítek a finální výmalba.</w:t>
      </w:r>
    </w:p>
    <w:p w:rsidR="00067B9F" w:rsidRDefault="00067B9F">
      <w:pPr>
        <w:pStyle w:val="Nadpis4"/>
      </w:pPr>
      <w:r>
        <w:t>Vodorovné konstrukce</w:t>
      </w:r>
    </w:p>
    <w:p w:rsidR="00067B9F" w:rsidRPr="0086670A" w:rsidRDefault="00067B9F">
      <w:pPr>
        <w:numPr>
          <w:ilvl w:val="3"/>
          <w:numId w:val="22"/>
        </w:numPr>
        <w:rPr>
          <w:color w:val="auto"/>
        </w:rPr>
      </w:pPr>
      <w:r w:rsidRPr="0086670A">
        <w:rPr>
          <w:color w:val="auto"/>
        </w:rPr>
        <w:t xml:space="preserve">Bude provedena kompletní výměna podlah po záklop nosných dřevěných trámů viz skladby konstrukcí </w:t>
      </w:r>
      <w:r w:rsidR="0086670A" w:rsidRPr="0086670A">
        <w:rPr>
          <w:color w:val="auto"/>
        </w:rPr>
        <w:t xml:space="preserve">- </w:t>
      </w:r>
      <w:r w:rsidRPr="0086670A">
        <w:rPr>
          <w:color w:val="auto"/>
        </w:rPr>
        <w:t>D.1.1.</w:t>
      </w:r>
      <w:r w:rsidR="0086670A" w:rsidRPr="0086670A">
        <w:rPr>
          <w:color w:val="auto"/>
        </w:rPr>
        <w:t>42.</w:t>
      </w:r>
    </w:p>
    <w:p w:rsidR="00067B9F" w:rsidRDefault="00067B9F">
      <w:pPr>
        <w:pStyle w:val="Nadpis4"/>
      </w:pPr>
      <w:bookmarkStart w:id="24" w:name="_Toc442097033"/>
      <w:r>
        <w:t>Komín</w:t>
      </w:r>
      <w:bookmarkEnd w:id="24"/>
      <w:r>
        <w:t>y</w:t>
      </w:r>
    </w:p>
    <w:p w:rsidR="00067B9F" w:rsidRDefault="00067B9F">
      <w:pPr>
        <w:numPr>
          <w:ilvl w:val="3"/>
          <w:numId w:val="22"/>
        </w:numPr>
      </w:pPr>
      <w:r>
        <w:t>Bude provedena sanace konstrukce komínu nad střešní rovinou včetně nového oplechování a opravy hlavice komínového tělesa. Komín není využíván a je ponechán z důvodu zachování členění objektu a jeho původního architektonického návrhu.</w:t>
      </w:r>
    </w:p>
    <w:p w:rsidR="00067B9F" w:rsidRDefault="00067B9F">
      <w:pPr>
        <w:pStyle w:val="Nadpis4"/>
      </w:pPr>
      <w:bookmarkStart w:id="25" w:name="_Toc442097030"/>
      <w:r>
        <w:t>Schodiště</w:t>
      </w:r>
      <w:bookmarkEnd w:id="25"/>
    </w:p>
    <w:p w:rsidR="00067B9F" w:rsidRDefault="00067B9F">
      <w:pPr>
        <w:numPr>
          <w:ilvl w:val="3"/>
          <w:numId w:val="22"/>
        </w:numPr>
      </w:pPr>
      <w:r>
        <w:t xml:space="preserve">U centrálního schodiště bude provedena sanace jednotlivých stupňů, případně zapravením nerovností a finálním zabroušením. Dále bude proveden nový keramický sokl. Zábradlí bude rozebráno, očištěno, </w:t>
      </w:r>
      <w:proofErr w:type="spellStart"/>
      <w:r>
        <w:t>provedno</w:t>
      </w:r>
      <w:proofErr w:type="spellEnd"/>
      <w:r>
        <w:t xml:space="preserve"> zatmelení a přebroušení dřevěných madel. Madla budou opatřena finálním lakem a po zpětné montáži zábradlí znovu osazena. </w:t>
      </w:r>
      <w:proofErr w:type="spellStart"/>
      <w:r>
        <w:t>Zábadlí</w:t>
      </w:r>
      <w:proofErr w:type="spellEnd"/>
      <w:r>
        <w:t xml:space="preserve"> bude opatřeno novým nátěrem, barva bude upřesněna při realizaci.</w:t>
      </w:r>
    </w:p>
    <w:p w:rsidR="00067B9F" w:rsidRDefault="00067B9F">
      <w:pPr>
        <w:pStyle w:val="Nadpis4"/>
      </w:pPr>
      <w:r>
        <w:lastRenderedPageBreak/>
        <w:t>Střecha</w:t>
      </w:r>
    </w:p>
    <w:p w:rsidR="00067B9F" w:rsidRDefault="00067B9F">
      <w:pPr>
        <w:numPr>
          <w:ilvl w:val="3"/>
          <w:numId w:val="22"/>
        </w:numPr>
      </w:pPr>
      <w:r>
        <w:t>Bude provedena výměna střešní krytiny včetně položení pomocné hydroizolace na celoplošné bednění. Pomocná hydroizolace bude kotvena na bednění pomocí kontralatí a krytina položena na latě. Bude provedeno kompletní výměna klempířských prvků včetně nových dešťových svodů a rýn. Součástí rekonstrukce střechy je výměna okna a prosvětlovacích prvků a provedení částečného zateplení střechy. Zateplení bude provedeno minerální vatou, osazena parotěsná fólie a na nosný rastr z CD profilů proveden SDK záklop. SDK bude přetmeleno a provedena výmalba. SDK desky jsou navrženy protipožární.</w:t>
      </w:r>
    </w:p>
    <w:p w:rsidR="00067B9F" w:rsidRDefault="00067B9F">
      <w:pPr>
        <w:pStyle w:val="Nadpis3"/>
        <w:keepNext w:val="0"/>
        <w:keepLines w:val="0"/>
        <w:ind w:left="624" w:hanging="624"/>
      </w:pPr>
      <w:bookmarkStart w:id="26" w:name="_Toc532260553"/>
      <w:bookmarkStart w:id="27" w:name="_Toc442097034"/>
      <w:r>
        <w:t>Práce PSV</w:t>
      </w:r>
      <w:bookmarkEnd w:id="26"/>
    </w:p>
    <w:p w:rsidR="00067B9F" w:rsidRDefault="00067B9F">
      <w:pPr>
        <w:pStyle w:val="Nadpis4"/>
      </w:pPr>
      <w:r>
        <w:t>Hydroizolace</w:t>
      </w:r>
    </w:p>
    <w:p w:rsidR="00067B9F" w:rsidRDefault="00067B9F">
      <w:pPr>
        <w:numPr>
          <w:ilvl w:val="3"/>
          <w:numId w:val="22"/>
        </w:numPr>
      </w:pPr>
      <w:r>
        <w:t xml:space="preserve">Bude provedeno položení nové vodorovné </w:t>
      </w:r>
      <w:proofErr w:type="spellStart"/>
      <w:r>
        <w:t>hydroizoalce</w:t>
      </w:r>
      <w:proofErr w:type="spellEnd"/>
      <w:r>
        <w:t xml:space="preserve"> v 1.NP a napojení na izolaci stěn. Dále bude provedeno odkopání v sokolové části, provedena drenáž a po obvodu objektu</w:t>
      </w:r>
      <w:r w:rsidR="00536325">
        <w:t xml:space="preserve"> dána</w:t>
      </w:r>
      <w:r>
        <w:t xml:space="preserve"> </w:t>
      </w:r>
      <w:proofErr w:type="spellStart"/>
      <w:r>
        <w:t>nopov</w:t>
      </w:r>
      <w:r w:rsidR="00536325">
        <w:t>a</w:t>
      </w:r>
      <w:proofErr w:type="spellEnd"/>
      <w:r>
        <w:t xml:space="preserve"> fólií s geotextilií.</w:t>
      </w:r>
    </w:p>
    <w:p w:rsidR="00067B9F" w:rsidRDefault="00067B9F">
      <w:pPr>
        <w:pStyle w:val="Nadpis4"/>
      </w:pPr>
      <w:bookmarkStart w:id="28" w:name="_Toc442097036"/>
      <w:bookmarkEnd w:id="27"/>
      <w:r>
        <w:t>Tepelné izolace</w:t>
      </w:r>
      <w:bookmarkEnd w:id="28"/>
    </w:p>
    <w:p w:rsidR="00067B9F" w:rsidRDefault="00067B9F">
      <w:pPr>
        <w:numPr>
          <w:ilvl w:val="3"/>
          <w:numId w:val="22"/>
        </w:numPr>
      </w:pPr>
      <w:r>
        <w:t>Z důvodu zachování stávajícího členění fasády bude provedeno z vnitřní strany po obvodu objektu zateplovaní tepelnou omítky dle výběru dodavatele. Bude provedeno zateplení části krovu střechy minerální vatou a část podlahy volně loženou tepelnou izolací.</w:t>
      </w:r>
    </w:p>
    <w:p w:rsidR="00067B9F" w:rsidRDefault="00067B9F">
      <w:pPr>
        <w:pStyle w:val="Nadpis4"/>
      </w:pPr>
      <w:bookmarkStart w:id="29" w:name="_Toc442097037"/>
      <w:r>
        <w:t>Zvukové a kročejové izolace</w:t>
      </w:r>
    </w:p>
    <w:p w:rsidR="00067B9F" w:rsidRPr="003C1EAB" w:rsidRDefault="00D27F77">
      <w:pPr>
        <w:numPr>
          <w:ilvl w:val="3"/>
          <w:numId w:val="22"/>
        </w:numPr>
        <w:rPr>
          <w:color w:val="auto"/>
        </w:rPr>
      </w:pPr>
      <w:r w:rsidRPr="003C1EAB">
        <w:rPr>
          <w:color w:val="auto"/>
        </w:rPr>
        <w:t xml:space="preserve">Je součástí řešení nových podlah v jednotlivých patrech. </w:t>
      </w:r>
      <w:r w:rsidR="00067B9F" w:rsidRPr="003C1EAB">
        <w:rPr>
          <w:color w:val="auto"/>
        </w:rPr>
        <w:t xml:space="preserve">Do konstrukce podlahy je </w:t>
      </w:r>
      <w:proofErr w:type="spellStart"/>
      <w:r w:rsidR="00067B9F" w:rsidRPr="003C1EAB">
        <w:rPr>
          <w:color w:val="auto"/>
        </w:rPr>
        <w:t>navžena</w:t>
      </w:r>
      <w:proofErr w:type="spellEnd"/>
      <w:r w:rsidR="00067B9F" w:rsidRPr="003C1EAB">
        <w:rPr>
          <w:color w:val="auto"/>
        </w:rPr>
        <w:t xml:space="preserve"> kročejová izolace </w:t>
      </w:r>
      <w:proofErr w:type="spellStart"/>
      <w:r w:rsidR="00067B9F" w:rsidRPr="003C1EAB">
        <w:rPr>
          <w:color w:val="auto"/>
        </w:rPr>
        <w:t>tl</w:t>
      </w:r>
      <w:proofErr w:type="spellEnd"/>
      <w:r w:rsidR="00067B9F" w:rsidRPr="003C1EAB">
        <w:rPr>
          <w:color w:val="auto"/>
        </w:rPr>
        <w:t xml:space="preserve">. </w:t>
      </w:r>
      <w:proofErr w:type="gramStart"/>
      <w:r w:rsidR="003C1EAB" w:rsidRPr="003C1EAB">
        <w:rPr>
          <w:color w:val="auto"/>
        </w:rPr>
        <w:t>4</w:t>
      </w:r>
      <w:r w:rsidR="00067B9F" w:rsidRPr="003C1EAB">
        <w:rPr>
          <w:color w:val="auto"/>
        </w:rPr>
        <w:t>0mm</w:t>
      </w:r>
      <w:proofErr w:type="gramEnd"/>
      <w:r w:rsidR="00067B9F" w:rsidRPr="003C1EAB">
        <w:rPr>
          <w:color w:val="auto"/>
        </w:rPr>
        <w:t xml:space="preserve"> </w:t>
      </w:r>
      <w:r w:rsidR="00A44422" w:rsidRPr="003C1EAB">
        <w:rPr>
          <w:color w:val="auto"/>
        </w:rPr>
        <w:t>v</w:t>
      </w:r>
      <w:r w:rsidR="00067B9F" w:rsidRPr="003C1EAB">
        <w:rPr>
          <w:color w:val="auto"/>
        </w:rPr>
        <w:t>iz skl</w:t>
      </w:r>
      <w:r w:rsidR="00A44422" w:rsidRPr="003C1EAB">
        <w:rPr>
          <w:color w:val="auto"/>
        </w:rPr>
        <w:t>a</w:t>
      </w:r>
      <w:r w:rsidR="00067B9F" w:rsidRPr="003C1EAB">
        <w:rPr>
          <w:color w:val="auto"/>
        </w:rPr>
        <w:t xml:space="preserve">dby </w:t>
      </w:r>
      <w:r w:rsidR="003C1EAB" w:rsidRPr="003C1EAB">
        <w:rPr>
          <w:color w:val="auto"/>
        </w:rPr>
        <w:t>konstrukcí – D.1.1.42.</w:t>
      </w:r>
    </w:p>
    <w:p w:rsidR="00067B9F" w:rsidRDefault="00067B9F">
      <w:pPr>
        <w:pStyle w:val="Nadpis4"/>
      </w:pPr>
      <w:r>
        <w:t>Podhledy, sádrokartonářské práce</w:t>
      </w:r>
    </w:p>
    <w:p w:rsidR="00067B9F" w:rsidRDefault="00067B9F">
      <w:pPr>
        <w:numPr>
          <w:ilvl w:val="3"/>
          <w:numId w:val="22"/>
        </w:numPr>
      </w:pPr>
      <w:r>
        <w:t>V jednotlivých místnostech bude proveden snížený podhled nosného rastru a SDK desek. V pohledu budou vedeny rozvody včetně rekuperace.</w:t>
      </w:r>
      <w:r w:rsidR="00D27F77">
        <w:t xml:space="preserve"> </w:t>
      </w:r>
      <w:r>
        <w:t>V prost</w:t>
      </w:r>
      <w:r w:rsidR="00D27F77">
        <w:t>o</w:t>
      </w:r>
      <w:r>
        <w:t>ru půdu budou provedeny SDK stropy</w:t>
      </w:r>
      <w:r w:rsidR="00D27F77">
        <w:t xml:space="preserve"> a stěny</w:t>
      </w:r>
      <w:r>
        <w:t xml:space="preserve"> z požárních desek.</w:t>
      </w:r>
    </w:p>
    <w:p w:rsidR="00067B9F" w:rsidRDefault="00067B9F">
      <w:pPr>
        <w:pStyle w:val="Nadpis4"/>
      </w:pPr>
      <w:r>
        <w:t>Podlahy</w:t>
      </w:r>
    </w:p>
    <w:p w:rsidR="00067B9F" w:rsidRDefault="00067B9F">
      <w:pPr>
        <w:numPr>
          <w:ilvl w:val="3"/>
          <w:numId w:val="22"/>
        </w:numPr>
      </w:pPr>
      <w:r>
        <w:t xml:space="preserve">Budou provedeny kompletní výměny podlah. Finální </w:t>
      </w:r>
      <w:proofErr w:type="spellStart"/>
      <w:r w:rsidR="003C1EAB">
        <w:t>skaldba</w:t>
      </w:r>
      <w:proofErr w:type="spellEnd"/>
      <w:r w:rsidR="003C1EAB">
        <w:t xml:space="preserve"> </w:t>
      </w:r>
      <w:r>
        <w:t xml:space="preserve">dle jednotlivých místností viz </w:t>
      </w:r>
      <w:r w:rsidR="003C1EAB">
        <w:t>skl</w:t>
      </w:r>
      <w:r w:rsidR="008666DC">
        <w:t>a</w:t>
      </w:r>
      <w:r w:rsidR="003C1EAB">
        <w:t xml:space="preserve">dby </w:t>
      </w:r>
      <w:r w:rsidR="003C1EAB" w:rsidRPr="003C1EAB">
        <w:rPr>
          <w:color w:val="auto"/>
        </w:rPr>
        <w:t xml:space="preserve">konstrukcí - </w:t>
      </w:r>
      <w:r w:rsidRPr="003C1EAB">
        <w:rPr>
          <w:color w:val="auto"/>
        </w:rPr>
        <w:t>D.1.1.4</w:t>
      </w:r>
      <w:r w:rsidR="003C1EAB" w:rsidRPr="003C1EAB">
        <w:rPr>
          <w:color w:val="auto"/>
        </w:rPr>
        <w:t>2.</w:t>
      </w:r>
    </w:p>
    <w:p w:rsidR="00067B9F" w:rsidRDefault="00067B9F">
      <w:pPr>
        <w:pStyle w:val="Nadpis4"/>
      </w:pPr>
      <w:r>
        <w:t>Výplně otvorů</w:t>
      </w:r>
    </w:p>
    <w:p w:rsidR="00067B9F" w:rsidRDefault="00067B9F">
      <w:pPr>
        <w:numPr>
          <w:ilvl w:val="3"/>
          <w:numId w:val="22"/>
        </w:numPr>
        <w:spacing w:before="60"/>
        <w:rPr>
          <w:u w:val="single"/>
        </w:rPr>
      </w:pPr>
      <w:r>
        <w:rPr>
          <w:u w:val="single"/>
        </w:rPr>
        <w:t>Okna</w:t>
      </w:r>
    </w:p>
    <w:p w:rsidR="00067B9F" w:rsidRDefault="00067B9F">
      <w:pPr>
        <w:numPr>
          <w:ilvl w:val="3"/>
          <w:numId w:val="22"/>
        </w:numPr>
      </w:pPr>
      <w:r>
        <w:t xml:space="preserve">Jsou </w:t>
      </w:r>
      <w:proofErr w:type="spellStart"/>
      <w:r>
        <w:t>navžena</w:t>
      </w:r>
      <w:proofErr w:type="spellEnd"/>
      <w:r>
        <w:t xml:space="preserve"> nová plastová okna s dvojskly. Tvar a členění je zachováno z důvodu ponechání původního architektonického tvarosloví a členění a </w:t>
      </w:r>
      <w:proofErr w:type="gramStart"/>
      <w:r>
        <w:t>otvírek</w:t>
      </w:r>
      <w:r w:rsidR="008666DC">
        <w:t xml:space="preserve">  viz</w:t>
      </w:r>
      <w:proofErr w:type="gramEnd"/>
      <w:r w:rsidR="008666DC">
        <w:t xml:space="preserve"> výpis prvků D.1.1.43.</w:t>
      </w:r>
      <w:r w:rsidR="008C27F2">
        <w:t xml:space="preserve"> Finální členění bude projednáno s projektantem.</w:t>
      </w:r>
    </w:p>
    <w:p w:rsidR="00067B9F" w:rsidRDefault="00067B9F">
      <w:pPr>
        <w:numPr>
          <w:ilvl w:val="3"/>
          <w:numId w:val="22"/>
        </w:numPr>
        <w:spacing w:before="60"/>
        <w:rPr>
          <w:u w:val="single"/>
        </w:rPr>
      </w:pPr>
      <w:r>
        <w:rPr>
          <w:u w:val="single"/>
        </w:rPr>
        <w:t>Dveře</w:t>
      </w:r>
    </w:p>
    <w:p w:rsidR="0009592F" w:rsidRDefault="00067B9F" w:rsidP="008666DC">
      <w:pPr>
        <w:numPr>
          <w:ilvl w:val="3"/>
          <w:numId w:val="22"/>
        </w:numPr>
      </w:pPr>
      <w:r>
        <w:t>Vstupní dveře budou plastové</w:t>
      </w:r>
      <w:r w:rsidR="008666DC">
        <w:t>, v</w:t>
      </w:r>
      <w:r>
        <w:t>nitřní dřevěné. Tvar a rozměry budou zachovány dle původních dveří</w:t>
      </w:r>
      <w:r w:rsidR="008666DC">
        <w:t xml:space="preserve"> viz výpis prvků D.1.1.43.</w:t>
      </w:r>
      <w:r w:rsidR="008C27F2">
        <w:t xml:space="preserve"> </w:t>
      </w:r>
      <w:r w:rsidR="008C27F2">
        <w:t>Finální členění bude projednáno s</w:t>
      </w:r>
      <w:r w:rsidR="008C27F2">
        <w:t xml:space="preserve"> </w:t>
      </w:r>
      <w:r w:rsidR="008C27F2">
        <w:t>projektantem.</w:t>
      </w:r>
    </w:p>
    <w:p w:rsidR="00067B9F" w:rsidRDefault="00067B9F">
      <w:pPr>
        <w:numPr>
          <w:ilvl w:val="3"/>
          <w:numId w:val="22"/>
        </w:numPr>
        <w:spacing w:before="60"/>
        <w:rPr>
          <w:u w:val="single"/>
        </w:rPr>
      </w:pPr>
      <w:r>
        <w:rPr>
          <w:u w:val="single"/>
        </w:rPr>
        <w:lastRenderedPageBreak/>
        <w:t>Prosklené stěny</w:t>
      </w:r>
    </w:p>
    <w:p w:rsidR="00067B9F" w:rsidRDefault="00067B9F">
      <w:pPr>
        <w:numPr>
          <w:ilvl w:val="3"/>
          <w:numId w:val="22"/>
        </w:numPr>
      </w:pPr>
      <w:r>
        <w:t>Budou provedeny nové sklobetonové prosvětlovací příčky dle původního umístění, velikosti a členění.</w:t>
      </w:r>
    </w:p>
    <w:p w:rsidR="00067B9F" w:rsidRDefault="00067B9F">
      <w:pPr>
        <w:numPr>
          <w:ilvl w:val="3"/>
          <w:numId w:val="22"/>
        </w:numPr>
        <w:spacing w:before="60"/>
        <w:rPr>
          <w:u w:val="single"/>
        </w:rPr>
      </w:pPr>
      <w:r>
        <w:rPr>
          <w:u w:val="single"/>
        </w:rPr>
        <w:t>Požární uzávěry</w:t>
      </w:r>
    </w:p>
    <w:p w:rsidR="00067B9F" w:rsidRDefault="00067B9F">
      <w:pPr>
        <w:numPr>
          <w:ilvl w:val="3"/>
          <w:numId w:val="22"/>
        </w:numPr>
      </w:pPr>
      <w:r>
        <w:t>Jsou součástí řešení projektu rekuperace. Jedná se požární prostupy vedení rekuperace v místech přechodu rozvodů stropy</w:t>
      </w:r>
      <w:r w:rsidR="007425B5">
        <w:t xml:space="preserve"> viz projekt rekuperace.</w:t>
      </w:r>
    </w:p>
    <w:p w:rsidR="00067B9F" w:rsidRDefault="00067B9F">
      <w:pPr>
        <w:pStyle w:val="Nadpis4"/>
      </w:pPr>
      <w:r>
        <w:t>Truhlářské konstrukce</w:t>
      </w:r>
    </w:p>
    <w:p w:rsidR="00067B9F" w:rsidRDefault="00067B9F" w:rsidP="00E43E91">
      <w:pPr>
        <w:numPr>
          <w:ilvl w:val="3"/>
          <w:numId w:val="22"/>
        </w:numPr>
      </w:pPr>
      <w:r>
        <w:t xml:space="preserve">Je navržena nová konstrukce altánku v prostoru stávajícího plechového skladu se vstupem do 1.PP. Nový altánek je </w:t>
      </w:r>
      <w:proofErr w:type="spellStart"/>
      <w:r>
        <w:t>navžen</w:t>
      </w:r>
      <w:proofErr w:type="spellEnd"/>
      <w:r>
        <w:t xml:space="preserve"> jako dřevěná konstrukce s pultovou střechou a plechovou krytinou. Nosné sloupky jsou zakotveny do základových patek pomocí ocelových kotev a provedena podlaha z dlažby lemovaná zahradními obrubníky. Altánek zároveň slouží jako zastřešení vstupu do 1.PP. S objektem je propojen krycím plechem viz </w:t>
      </w:r>
      <w:r w:rsidRPr="008666DC">
        <w:rPr>
          <w:color w:val="auto"/>
        </w:rPr>
        <w:t>výkres</w:t>
      </w:r>
      <w:r w:rsidR="008666DC" w:rsidRPr="008666DC">
        <w:rPr>
          <w:color w:val="auto"/>
        </w:rPr>
        <w:t>y</w:t>
      </w:r>
      <w:r w:rsidRPr="008666DC">
        <w:rPr>
          <w:color w:val="auto"/>
        </w:rPr>
        <w:t xml:space="preserve"> </w:t>
      </w:r>
      <w:r w:rsidR="00E43E91" w:rsidRPr="008666DC">
        <w:rPr>
          <w:color w:val="auto"/>
        </w:rPr>
        <w:t xml:space="preserve">č. </w:t>
      </w:r>
      <w:r w:rsidRPr="008666DC">
        <w:rPr>
          <w:color w:val="auto"/>
        </w:rPr>
        <w:t>D.1.1</w:t>
      </w:r>
      <w:r w:rsidR="00E43E91" w:rsidRPr="008666DC">
        <w:rPr>
          <w:color w:val="auto"/>
        </w:rPr>
        <w:t>.</w:t>
      </w:r>
      <w:r w:rsidR="008666DC" w:rsidRPr="008666DC">
        <w:rPr>
          <w:color w:val="auto"/>
        </w:rPr>
        <w:t>36, D.1.1.37, D.1.1.38, D.1.1.39.</w:t>
      </w:r>
    </w:p>
    <w:p w:rsidR="00067B9F" w:rsidRDefault="00067B9F">
      <w:pPr>
        <w:pStyle w:val="Nadpis4"/>
      </w:pPr>
      <w:r>
        <w:t>Zámečnické konstrukce</w:t>
      </w:r>
    </w:p>
    <w:p w:rsidR="00067B9F" w:rsidRDefault="00067B9F">
      <w:pPr>
        <w:numPr>
          <w:ilvl w:val="3"/>
          <w:numId w:val="22"/>
        </w:numPr>
        <w:rPr>
          <w:color w:val="auto"/>
        </w:rPr>
      </w:pPr>
      <w:r w:rsidRPr="008666DC">
        <w:rPr>
          <w:color w:val="auto"/>
        </w:rPr>
        <w:t xml:space="preserve">Viz </w:t>
      </w:r>
      <w:r w:rsidR="008666DC" w:rsidRPr="008666DC">
        <w:rPr>
          <w:color w:val="auto"/>
        </w:rPr>
        <w:t xml:space="preserve">výpis prvků </w:t>
      </w:r>
      <w:r w:rsidRPr="008666DC">
        <w:rPr>
          <w:color w:val="auto"/>
        </w:rPr>
        <w:t>D.1.1.4</w:t>
      </w:r>
      <w:r w:rsidR="008666DC">
        <w:rPr>
          <w:color w:val="auto"/>
        </w:rPr>
        <w:t>3.</w:t>
      </w:r>
    </w:p>
    <w:p w:rsidR="008666DC" w:rsidRPr="008666DC" w:rsidRDefault="008666DC">
      <w:pPr>
        <w:numPr>
          <w:ilvl w:val="3"/>
          <w:numId w:val="22"/>
        </w:numPr>
        <w:rPr>
          <w:color w:val="auto"/>
        </w:rPr>
      </w:pPr>
      <w:r>
        <w:rPr>
          <w:color w:val="auto"/>
        </w:rPr>
        <w:t xml:space="preserve">Součástí zámečnických konstrukcí je kryt přívodu vzduchu pro kondenzační kotle v místnost. č. 1.10 – 1.11. Je </w:t>
      </w:r>
      <w:proofErr w:type="spellStart"/>
      <w:r>
        <w:rPr>
          <w:color w:val="auto"/>
        </w:rPr>
        <w:t>navžena</w:t>
      </w:r>
      <w:proofErr w:type="spellEnd"/>
      <w:r>
        <w:rPr>
          <w:color w:val="auto"/>
        </w:rPr>
        <w:t xml:space="preserve"> s </w:t>
      </w:r>
      <w:proofErr w:type="spellStart"/>
      <w:r>
        <w:rPr>
          <w:color w:val="auto"/>
        </w:rPr>
        <w:t>jeklů</w:t>
      </w:r>
      <w:proofErr w:type="spellEnd"/>
      <w:r>
        <w:rPr>
          <w:color w:val="auto"/>
        </w:rPr>
        <w:t xml:space="preserve"> a opláštěna z bočních stran SDK deskami. Vrchní část je navržena z lakované a broušené fošny. Hrana jsou zabroušeny.</w:t>
      </w:r>
    </w:p>
    <w:p w:rsidR="00067B9F" w:rsidRDefault="00067B9F">
      <w:pPr>
        <w:pStyle w:val="Nadpis4"/>
      </w:pPr>
      <w:r>
        <w:t>Klempířské konstrukce</w:t>
      </w:r>
      <w:bookmarkEnd w:id="29"/>
    </w:p>
    <w:p w:rsidR="00067B9F" w:rsidRPr="008666DC" w:rsidRDefault="00067B9F">
      <w:pPr>
        <w:numPr>
          <w:ilvl w:val="3"/>
          <w:numId w:val="22"/>
        </w:numPr>
        <w:rPr>
          <w:color w:val="auto"/>
        </w:rPr>
      </w:pPr>
      <w:r w:rsidRPr="008666DC">
        <w:rPr>
          <w:color w:val="auto"/>
        </w:rPr>
        <w:t xml:space="preserve">Viz </w:t>
      </w:r>
      <w:r w:rsidR="008666DC" w:rsidRPr="008666DC">
        <w:rPr>
          <w:color w:val="auto"/>
        </w:rPr>
        <w:t xml:space="preserve">výpis prvků </w:t>
      </w:r>
      <w:r w:rsidRPr="008666DC">
        <w:rPr>
          <w:color w:val="auto"/>
        </w:rPr>
        <w:t>D.1.1.4</w:t>
      </w:r>
      <w:r w:rsidR="008666DC">
        <w:rPr>
          <w:color w:val="auto"/>
        </w:rPr>
        <w:t>3.</w:t>
      </w:r>
    </w:p>
    <w:p w:rsidR="00067B9F" w:rsidRDefault="00067B9F">
      <w:pPr>
        <w:pStyle w:val="Nadpis4"/>
      </w:pPr>
      <w:bookmarkStart w:id="30" w:name="_Toc442097035"/>
      <w:r>
        <w:t>Vnější povrchové úpravy</w:t>
      </w:r>
      <w:bookmarkEnd w:id="30"/>
    </w:p>
    <w:p w:rsidR="00067B9F" w:rsidRDefault="00067B9F">
      <w:pPr>
        <w:numPr>
          <w:ilvl w:val="3"/>
          <w:numId w:val="22"/>
        </w:numPr>
      </w:pPr>
      <w:r>
        <w:t xml:space="preserve">Je navrženo mechanické </w:t>
      </w:r>
      <w:proofErr w:type="spellStart"/>
      <w:r>
        <w:t>očiště</w:t>
      </w:r>
      <w:proofErr w:type="spellEnd"/>
      <w:r>
        <w:t xml:space="preserve"> a otryskání vnějších omítek a provedení nových. Budou provedeny nové fasádní prvky dle stávajícího členění a tvaru včetně úpravy balkónu. Finální úprava nosné konstrukce balkónu musí být projednána s projektantem a statikem. Dále bude provedena oprava soklové části s návazností na úpravu okapového chodníku a odvodňovacího žlabu se severní strany, který je napojen na stávající odvod dešťové vody.</w:t>
      </w:r>
    </w:p>
    <w:p w:rsidR="00067B9F" w:rsidRDefault="00067B9F">
      <w:pPr>
        <w:pStyle w:val="Nadpis4"/>
      </w:pPr>
      <w:bookmarkStart w:id="31" w:name="_Toc442097039"/>
      <w:r>
        <w:t>Vnitřní povrchové úpravy</w:t>
      </w:r>
    </w:p>
    <w:p w:rsidR="00067B9F" w:rsidRDefault="00067B9F" w:rsidP="008B770B">
      <w:pPr>
        <w:numPr>
          <w:ilvl w:val="3"/>
          <w:numId w:val="22"/>
        </w:numPr>
      </w:pPr>
      <w:r>
        <w:t xml:space="preserve">Vnitřní povrchové úpravy </w:t>
      </w:r>
      <w:proofErr w:type="gramStart"/>
      <w:r>
        <w:t>spočívají  v</w:t>
      </w:r>
      <w:proofErr w:type="gramEnd"/>
      <w:r>
        <w:t> provedení nových tepelných omítek obvodových stěn a oprava stávajících omítek s finálním přetažením štukovou omítkou a provedením výmalby.</w:t>
      </w:r>
      <w:r w:rsidR="008B770B">
        <w:t xml:space="preserve"> </w:t>
      </w:r>
      <w:r>
        <w:t>Dále budou v 1.PP provedeny nové sanační omítky</w:t>
      </w:r>
      <w:r w:rsidR="008B770B">
        <w:t xml:space="preserve"> z důvodu vlhkosti. </w:t>
      </w:r>
      <w:proofErr w:type="spellStart"/>
      <w:r w:rsidR="008B770B">
        <w:t>Odvěrání</w:t>
      </w:r>
      <w:proofErr w:type="spellEnd"/>
      <w:r w:rsidR="008B770B">
        <w:t xml:space="preserve"> je řešeno přirozeně oknem a větrací mřížkou.</w:t>
      </w:r>
    </w:p>
    <w:p w:rsidR="00067B9F" w:rsidRDefault="00067B9F">
      <w:pPr>
        <w:pStyle w:val="Nadpis4"/>
      </w:pPr>
      <w:r>
        <w:t>Malby a nátěry</w:t>
      </w:r>
    </w:p>
    <w:p w:rsidR="00067B9F" w:rsidRDefault="00067B9F" w:rsidP="008B770B">
      <w:pPr>
        <w:jc w:val="both"/>
        <w:rPr>
          <w:color w:val="auto"/>
        </w:rPr>
      </w:pPr>
      <w:r w:rsidRPr="008B770B">
        <w:rPr>
          <w:color w:val="auto"/>
        </w:rPr>
        <w:t>Bude provedena kompletní výmalba objektu.</w:t>
      </w:r>
      <w:r w:rsidR="008B770B" w:rsidRPr="008B770B">
        <w:rPr>
          <w:color w:val="auto"/>
        </w:rPr>
        <w:t xml:space="preserve"> Barva a vzor bude vybrán investorem při realizaci.</w:t>
      </w:r>
    </w:p>
    <w:p w:rsidR="008666DC" w:rsidRDefault="008666DC" w:rsidP="008B770B">
      <w:pPr>
        <w:jc w:val="both"/>
        <w:rPr>
          <w:color w:val="auto"/>
        </w:rPr>
      </w:pPr>
    </w:p>
    <w:p w:rsidR="008666DC" w:rsidRPr="008B770B" w:rsidRDefault="008666DC" w:rsidP="008B770B">
      <w:pPr>
        <w:jc w:val="both"/>
        <w:rPr>
          <w:color w:val="auto"/>
        </w:rPr>
      </w:pPr>
    </w:p>
    <w:p w:rsidR="00067B9F" w:rsidRDefault="00067B9F">
      <w:pPr>
        <w:pStyle w:val="Nadpis2"/>
        <w:keepNext w:val="0"/>
        <w:keepLines w:val="0"/>
      </w:pPr>
      <w:bookmarkStart w:id="32" w:name="_Toc442097040"/>
      <w:bookmarkStart w:id="33" w:name="_Toc532260554"/>
      <w:bookmarkEnd w:id="31"/>
      <w:r>
        <w:lastRenderedPageBreak/>
        <w:t>Tepelně technické vlastnosti stavebních konstrukcí a výplní otvorů</w:t>
      </w:r>
      <w:bookmarkEnd w:id="32"/>
      <w:bookmarkEnd w:id="33"/>
    </w:p>
    <w:p w:rsidR="00067B9F" w:rsidRPr="008666DC" w:rsidRDefault="0009592F" w:rsidP="008666DC">
      <w:pPr>
        <w:rPr>
          <w:color w:val="auto"/>
        </w:rPr>
      </w:pPr>
      <w:r w:rsidRPr="00D27F77">
        <w:rPr>
          <w:color w:val="auto"/>
        </w:rPr>
        <w:t>Návrh stavby a tepelně technické vlastnosti navržených materiálů, výplní otvorů a konstrukcí je v souladu s ČSN 73 0540 Tepelná ochrana budov část – 2.</w:t>
      </w:r>
    </w:p>
    <w:p w:rsidR="00067B9F" w:rsidRDefault="00067B9F">
      <w:pPr>
        <w:pStyle w:val="Nadpis2"/>
        <w:keepNext w:val="0"/>
        <w:keepLines w:val="0"/>
      </w:pPr>
      <w:bookmarkStart w:id="34" w:name="_Toc442097041"/>
      <w:bookmarkStart w:id="35" w:name="_Toc532260555"/>
      <w:r>
        <w:t>Způsob založení objektu</w:t>
      </w:r>
      <w:bookmarkEnd w:id="34"/>
      <w:r>
        <w:t xml:space="preserve"> s ohledem na výsledky inženýrsko-geologického a hydrogeologického průzkumu</w:t>
      </w:r>
      <w:bookmarkEnd w:id="35"/>
    </w:p>
    <w:p w:rsidR="00067B9F" w:rsidRDefault="008B770B" w:rsidP="008B770B">
      <w:pPr>
        <w:pStyle w:val="Nadpis3"/>
        <w:numPr>
          <w:ilvl w:val="0"/>
          <w:numId w:val="0"/>
        </w:numPr>
      </w:pPr>
      <w:bookmarkStart w:id="36" w:name="_Toc532260556"/>
      <w:r>
        <w:rPr>
          <w:b w:val="0"/>
        </w:rPr>
        <w:t>N</w:t>
      </w:r>
      <w:r w:rsidR="00067B9F">
        <w:rPr>
          <w:b w:val="0"/>
        </w:rPr>
        <w:t>ení součástí tohoto projektu.</w:t>
      </w:r>
      <w:bookmarkEnd w:id="36"/>
    </w:p>
    <w:p w:rsidR="00067B9F" w:rsidRDefault="00067B9F">
      <w:pPr>
        <w:pStyle w:val="Nadpis2"/>
        <w:keepNext w:val="0"/>
        <w:keepLines w:val="0"/>
      </w:pPr>
      <w:bookmarkStart w:id="37" w:name="_Toc532260557"/>
      <w:r>
        <w:t>vliv objektu a jeho užívání na životní prostředí a řešení případných negativních účinků</w:t>
      </w:r>
      <w:bookmarkEnd w:id="37"/>
    </w:p>
    <w:p w:rsidR="00067B9F" w:rsidRDefault="00067B9F">
      <w:pPr>
        <w:numPr>
          <w:ilvl w:val="3"/>
          <w:numId w:val="22"/>
        </w:numPr>
      </w:pPr>
      <w:proofErr w:type="gramStart"/>
      <w:r>
        <w:t>Stavba  ani</w:t>
      </w:r>
      <w:proofErr w:type="gramEnd"/>
      <w:r>
        <w:t xml:space="preserve"> její užívání nemá negativní vliv na životní prostředí a nevyžaduje řešení negativních účinků.</w:t>
      </w:r>
    </w:p>
    <w:p w:rsidR="00067B9F" w:rsidRDefault="00067B9F">
      <w:pPr>
        <w:pStyle w:val="Nadpis2"/>
        <w:keepNext w:val="0"/>
        <w:keepLines w:val="0"/>
      </w:pPr>
      <w:bookmarkStart w:id="38" w:name="_Toc442097042"/>
      <w:bookmarkStart w:id="39" w:name="_Toc532260558"/>
      <w:r>
        <w:t>Dopravní řešení</w:t>
      </w:r>
      <w:bookmarkEnd w:id="38"/>
      <w:bookmarkEnd w:id="39"/>
    </w:p>
    <w:p w:rsidR="00067B9F" w:rsidRDefault="00067B9F">
      <w:pPr>
        <w:numPr>
          <w:ilvl w:val="3"/>
          <w:numId w:val="22"/>
        </w:numPr>
      </w:pPr>
      <w:r>
        <w:t>Není součástí tohoto projektu.</w:t>
      </w:r>
    </w:p>
    <w:p w:rsidR="00067B9F" w:rsidRDefault="00067B9F">
      <w:pPr>
        <w:pStyle w:val="Nadpis2"/>
      </w:pPr>
      <w:bookmarkStart w:id="40" w:name="_Toc442097043"/>
      <w:bookmarkStart w:id="41" w:name="_Toc532260559"/>
      <w:r>
        <w:t>Ochrana stavby před škodlivými vlivy vnějšího prostředí</w:t>
      </w:r>
      <w:bookmarkEnd w:id="40"/>
      <w:bookmarkEnd w:id="41"/>
    </w:p>
    <w:p w:rsidR="00067B9F" w:rsidRPr="00D27F77" w:rsidRDefault="0009592F">
      <w:pPr>
        <w:numPr>
          <w:ilvl w:val="3"/>
          <w:numId w:val="22"/>
        </w:numPr>
        <w:rPr>
          <w:color w:val="auto"/>
        </w:rPr>
      </w:pPr>
      <w:r w:rsidRPr="00D27F77">
        <w:rPr>
          <w:color w:val="auto"/>
        </w:rPr>
        <w:t>Součástí projektu není řešení žádné ochrany před škodlivými vlivy.</w:t>
      </w:r>
    </w:p>
    <w:p w:rsidR="00067B9F" w:rsidRDefault="00067B9F">
      <w:pPr>
        <w:pStyle w:val="Nadpis2"/>
        <w:keepNext w:val="0"/>
        <w:keepLines w:val="0"/>
      </w:pPr>
      <w:bookmarkStart w:id="42" w:name="_Toc442097044"/>
      <w:bookmarkStart w:id="43" w:name="_Toc532260560"/>
      <w:r>
        <w:t>Dodržení obecných požadavků na výstavbu</w:t>
      </w:r>
      <w:bookmarkEnd w:id="42"/>
      <w:bookmarkEnd w:id="43"/>
    </w:p>
    <w:p w:rsidR="0009592F" w:rsidRPr="00D27F77" w:rsidRDefault="0009592F" w:rsidP="0009592F">
      <w:pPr>
        <w:jc w:val="both"/>
        <w:rPr>
          <w:color w:val="auto"/>
        </w:rPr>
      </w:pPr>
      <w:r w:rsidRPr="00D27F77">
        <w:rPr>
          <w:color w:val="auto"/>
        </w:rPr>
        <w:t>Pro realizaci záměru je nutné počítat se značným omezením užívání objektu. Je žádoucí dobře načasovat a připravit jednotlivé stavební zásahy.</w:t>
      </w:r>
    </w:p>
    <w:p w:rsidR="0009592F" w:rsidRPr="00D27F77" w:rsidRDefault="0009592F" w:rsidP="0009592F">
      <w:pPr>
        <w:jc w:val="both"/>
        <w:rPr>
          <w:color w:val="auto"/>
        </w:rPr>
      </w:pPr>
      <w:r w:rsidRPr="00D27F77">
        <w:rPr>
          <w:color w:val="auto"/>
        </w:rPr>
        <w:t xml:space="preserve">V rámci zabezpečení staveniště určí zhotovitel stavby způsob ochrany proti vstupu nepovolaných fyzických osob např. oplocením staveniště. Zákaz vstupu bude vyznačen bezpečnostní značkou na všech vstupech a přístupových komunikacích, které k nim vedou. Vjezdy a výjezdy na staveniště pro vozidla musí být označeny dopravními značkami provádějícími místní úpravu provozu vozidel na staveništi. Zákaz vjezdu vozidel mimo stavbu bude vyznačen bezpečnostní značkou na všech vjezdech a na přístupových komunikacích, které k nim vedou. </w:t>
      </w:r>
    </w:p>
    <w:p w:rsidR="0009592F" w:rsidRPr="00D27F77" w:rsidRDefault="0009592F" w:rsidP="0009592F">
      <w:pPr>
        <w:jc w:val="both"/>
        <w:rPr>
          <w:color w:val="auto"/>
          <w:highlight w:val="red"/>
        </w:rPr>
      </w:pPr>
      <w:r w:rsidRPr="00D27F77">
        <w:rPr>
          <w:color w:val="auto"/>
        </w:rPr>
        <w:t>Pohyb osob s omezenou schopností pohybu a orientace je v rozsahu staveniště vyloučen.</w:t>
      </w:r>
    </w:p>
    <w:p w:rsidR="00067B9F" w:rsidRDefault="00067B9F">
      <w:pPr>
        <w:numPr>
          <w:ilvl w:val="3"/>
          <w:numId w:val="22"/>
        </w:numPr>
        <w:rPr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67B9F">
        <w:trPr>
          <w:trHeight w:val="1418"/>
        </w:trPr>
        <w:tc>
          <w:tcPr>
            <w:tcW w:w="4531" w:type="dxa"/>
            <w:vAlign w:val="bottom"/>
          </w:tcPr>
          <w:p w:rsidR="00067B9F" w:rsidRDefault="00067B9F">
            <w:pPr>
              <w:spacing w:line="240" w:lineRule="auto"/>
              <w:ind w:left="0"/>
            </w:pPr>
            <w:r>
              <w:t xml:space="preserve">Datum: </w:t>
            </w:r>
            <w:r w:rsidR="0009592F">
              <w:t>11/2018</w:t>
            </w:r>
          </w:p>
        </w:tc>
        <w:tc>
          <w:tcPr>
            <w:tcW w:w="4531" w:type="dxa"/>
            <w:vAlign w:val="bottom"/>
          </w:tcPr>
          <w:p w:rsidR="00067B9F" w:rsidRDefault="00067B9F" w:rsidP="0009592F">
            <w:pPr>
              <w:spacing w:line="240" w:lineRule="auto"/>
              <w:ind w:left="0"/>
            </w:pPr>
            <w:r>
              <w:t xml:space="preserve">Vypracoval: </w:t>
            </w:r>
            <w:r w:rsidR="0009592F">
              <w:t>Jaromír Křupka</w:t>
            </w:r>
          </w:p>
        </w:tc>
      </w:tr>
    </w:tbl>
    <w:p w:rsidR="00067B9F" w:rsidRDefault="00067B9F">
      <w:pPr>
        <w:numPr>
          <w:ilvl w:val="3"/>
          <w:numId w:val="22"/>
        </w:numPr>
      </w:pPr>
    </w:p>
    <w:sectPr w:rsidR="00067B9F">
      <w:headerReference w:type="default" r:id="rId9"/>
      <w:footerReference w:type="default" r:id="rId10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B9F" w:rsidRDefault="00067B9F">
      <w:pPr>
        <w:spacing w:line="240" w:lineRule="auto"/>
      </w:pPr>
      <w:r>
        <w:separator/>
      </w:r>
    </w:p>
  </w:endnote>
  <w:endnote w:type="continuationSeparator" w:id="0">
    <w:p w:rsidR="00067B9F" w:rsidRDefault="00067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B9F" w:rsidRDefault="00067B9F">
    <w:pPr>
      <w:pStyle w:val="Zpat"/>
      <w:ind w:hanging="284"/>
      <w:rPr>
        <w:color w:val="808080"/>
        <w:sz w:val="16"/>
        <w:szCs w:val="16"/>
      </w:rPr>
    </w:pPr>
  </w:p>
  <w:p w:rsidR="00067B9F" w:rsidRDefault="00067B9F">
    <w:pPr>
      <w:pStyle w:val="Zpat"/>
      <w:ind w:hanging="284"/>
      <w:rPr>
        <w:color w:val="808080"/>
        <w:sz w:val="16"/>
        <w:szCs w:val="16"/>
      </w:rPr>
    </w:pPr>
  </w:p>
  <w:p w:rsidR="00067B9F" w:rsidRDefault="0009592F">
    <w:pPr>
      <w:pStyle w:val="Zpat"/>
      <w:ind w:hanging="284"/>
      <w:rPr>
        <w:color w:val="808080"/>
        <w:sz w:val="16"/>
        <w:szCs w:val="16"/>
      </w:rPr>
    </w:pPr>
    <w:r>
      <w:rPr>
        <w:color w:val="808080"/>
        <w:sz w:val="16"/>
        <w:szCs w:val="16"/>
      </w:rPr>
      <w:t>681 – Kounická 70, Ivančice</w:t>
    </w:r>
    <w:r w:rsidR="00212295">
      <w:rPr>
        <w:color w:val="808080"/>
        <w:sz w:val="16"/>
        <w:szCs w:val="16"/>
      </w:rPr>
      <w:tab/>
    </w:r>
    <w:r w:rsidR="00212295">
      <w:rPr>
        <w:color w:val="808080"/>
        <w:sz w:val="16"/>
        <w:szCs w:val="16"/>
      </w:rPr>
      <w:tab/>
      <w:t xml:space="preserve">Stránka </w:t>
    </w:r>
    <w:r w:rsidR="00212295">
      <w:rPr>
        <w:color w:val="808080"/>
        <w:sz w:val="16"/>
        <w:szCs w:val="16"/>
      </w:rPr>
      <w:fldChar w:fldCharType="begin"/>
    </w:r>
    <w:r w:rsidR="00212295">
      <w:rPr>
        <w:color w:val="808080"/>
        <w:sz w:val="16"/>
        <w:szCs w:val="16"/>
      </w:rPr>
      <w:instrText>PAGE</w:instrText>
    </w:r>
    <w:r w:rsidR="00212295">
      <w:rPr>
        <w:color w:val="808080"/>
        <w:sz w:val="16"/>
        <w:szCs w:val="16"/>
      </w:rPr>
      <w:fldChar w:fldCharType="separate"/>
    </w:r>
    <w:r w:rsidR="00212295">
      <w:rPr>
        <w:color w:val="808080"/>
        <w:sz w:val="16"/>
        <w:szCs w:val="16"/>
      </w:rPr>
      <w:t>5</w:t>
    </w:r>
    <w:r w:rsidR="00212295">
      <w:rPr>
        <w:color w:val="808080"/>
        <w:sz w:val="16"/>
        <w:szCs w:val="16"/>
      </w:rPr>
      <w:fldChar w:fldCharType="end"/>
    </w:r>
    <w:r w:rsidR="00212295">
      <w:rPr>
        <w:color w:val="808080"/>
        <w:sz w:val="16"/>
        <w:szCs w:val="16"/>
      </w:rPr>
      <w:t xml:space="preserve"> z </w:t>
    </w:r>
    <w:r w:rsidR="00212295">
      <w:rPr>
        <w:color w:val="808080"/>
        <w:sz w:val="16"/>
        <w:szCs w:val="16"/>
      </w:rPr>
      <w:fldChar w:fldCharType="begin"/>
    </w:r>
    <w:r w:rsidR="00212295">
      <w:rPr>
        <w:color w:val="808080"/>
        <w:sz w:val="16"/>
        <w:szCs w:val="16"/>
      </w:rPr>
      <w:instrText>NUMPAGES</w:instrText>
    </w:r>
    <w:r w:rsidR="00212295">
      <w:rPr>
        <w:color w:val="808080"/>
        <w:sz w:val="16"/>
        <w:szCs w:val="16"/>
      </w:rPr>
      <w:fldChar w:fldCharType="separate"/>
    </w:r>
    <w:r w:rsidR="00212295">
      <w:rPr>
        <w:color w:val="808080"/>
        <w:sz w:val="16"/>
        <w:szCs w:val="16"/>
      </w:rPr>
      <w:t>9</w:t>
    </w:r>
    <w:r w:rsidR="00212295"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B9F" w:rsidRDefault="00067B9F">
      <w:pPr>
        <w:spacing w:line="240" w:lineRule="auto"/>
      </w:pPr>
      <w:r>
        <w:separator/>
      </w:r>
    </w:p>
  </w:footnote>
  <w:footnote w:type="continuationSeparator" w:id="0">
    <w:p w:rsidR="00067B9F" w:rsidRDefault="00067B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B9F" w:rsidRDefault="00E43E91">
    <w:pPr>
      <w:pStyle w:val="Zhlav"/>
      <w:pBdr>
        <w:bottom w:val="single" w:sz="4" w:space="1" w:color="7F7F7F"/>
      </w:pBdr>
      <w:ind w:left="0"/>
      <w:rPr>
        <w:color w:val="808080"/>
        <w:sz w:val="16"/>
        <w:szCs w:val="16"/>
      </w:rPr>
    </w:pPr>
    <w:r>
      <w:rPr>
        <w:color w:val="808080"/>
        <w:sz w:val="16"/>
        <w:szCs w:val="16"/>
      </w:rPr>
      <w:t>681 – Kounická 70, Ivančice</w:t>
    </w:r>
    <w:r w:rsidR="008639F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4" o:spid="_x0000_s2049" type="#_x0000_t75" style="position:absolute;margin-left:87.4pt;margin-top:4.65pt;width:94.9pt;height:12pt;z-index:-251658752;visibility:visible;mso-position-horizontal:right;mso-position-horizontal-relative:margin;mso-position-vertical-relative:text;mso-width-relative:margin;mso-height-relative:margin">
          <v:imagedata r:id="rId1" o:title=""/>
          <w10:wrap anchorx="margin"/>
        </v:shape>
      </w:pict>
    </w:r>
  </w:p>
  <w:p w:rsidR="00067B9F" w:rsidRDefault="00E43E91">
    <w:pPr>
      <w:pStyle w:val="Zhlav"/>
      <w:pBdr>
        <w:bottom w:val="single" w:sz="4" w:space="1" w:color="7F7F7F"/>
      </w:pBdr>
      <w:ind w:left="0"/>
      <w:rPr>
        <w:color w:val="808080"/>
        <w:sz w:val="16"/>
        <w:szCs w:val="16"/>
      </w:rPr>
    </w:pPr>
    <w:proofErr w:type="spellStart"/>
    <w:r>
      <w:rPr>
        <w:color w:val="808080"/>
        <w:sz w:val="16"/>
        <w:szCs w:val="16"/>
      </w:rPr>
      <w:t>Dokumenatce</w:t>
    </w:r>
    <w:proofErr w:type="spellEnd"/>
    <w:r>
      <w:rPr>
        <w:color w:val="808080"/>
        <w:sz w:val="16"/>
        <w:szCs w:val="16"/>
      </w:rPr>
      <w:t xml:space="preserve"> pro provádění stavby (DSP)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285E"/>
    <w:multiLevelType w:val="multilevel"/>
    <w:tmpl w:val="4D948A94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  <w:b/>
        <w:i w:val="0"/>
        <w:caps/>
        <w:sz w:val="52"/>
        <w:szCs w:val="16"/>
      </w:rPr>
    </w:lvl>
    <w:lvl w:ilvl="1">
      <w:start w:val="1"/>
      <w:numFmt w:val="none"/>
      <w:lvlRestart w:val="0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8"/>
      </w:rPr>
    </w:lvl>
    <w:lvl w:ilvl="2">
      <w:start w:val="1"/>
      <w:numFmt w:val="decimal"/>
      <w:suff w:val="space"/>
      <w:lvlText w:val="%1.%3%2."/>
      <w:lvlJc w:val="left"/>
      <w:pPr>
        <w:ind w:left="0" w:firstLine="0"/>
      </w:pPr>
      <w:rPr>
        <w:rFonts w:hint="default"/>
        <w:b/>
        <w:i w:val="0"/>
        <w:sz w:val="24"/>
      </w:rPr>
    </w:lvl>
    <w:lvl w:ilvl="3">
      <w:start w:val="1"/>
      <w:numFmt w:val="decimal"/>
      <w:suff w:val="space"/>
      <w:lvlText w:val="%1.%3.%4."/>
      <w:lvlJc w:val="left"/>
      <w:pPr>
        <w:ind w:left="0" w:firstLine="0"/>
      </w:pPr>
      <w:rPr>
        <w:rFonts w:hint="default"/>
        <w:b/>
        <w:i w:val="0"/>
        <w:sz w:val="22"/>
      </w:rPr>
    </w:lvl>
    <w:lvl w:ilvl="4">
      <w:start w:val="1"/>
      <w:numFmt w:val="lowerLetter"/>
      <w:suff w:val="space"/>
      <w:lvlText w:val="%5)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</w:abstractNum>
  <w:abstractNum w:abstractNumId="1" w15:restartNumberingAfterBreak="0">
    <w:nsid w:val="1F6B77F4"/>
    <w:multiLevelType w:val="hybridMultilevel"/>
    <w:tmpl w:val="3F609598"/>
    <w:lvl w:ilvl="0" w:tplc="6568AEAA">
      <w:start w:val="34"/>
      <w:numFmt w:val="bullet"/>
      <w:pStyle w:val="Bezmezer1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71334"/>
    <w:multiLevelType w:val="hybridMultilevel"/>
    <w:tmpl w:val="E442606E"/>
    <w:lvl w:ilvl="0" w:tplc="0F0A5BE4">
      <w:start w:val="34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1238E3"/>
    <w:multiLevelType w:val="hybridMultilevel"/>
    <w:tmpl w:val="C772E76C"/>
    <w:lvl w:ilvl="0" w:tplc="A13027A4">
      <w:start w:val="15"/>
      <w:numFmt w:val="bullet"/>
      <w:lvlText w:val="-"/>
      <w:lvlJc w:val="left"/>
      <w:pPr>
        <w:ind w:left="644" w:hanging="360"/>
      </w:pPr>
      <w:rPr>
        <w:rFonts w:ascii="Segoe UI" w:eastAsia="Calibr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F07786"/>
    <w:multiLevelType w:val="multilevel"/>
    <w:tmpl w:val="179C0DE2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i w:val="0"/>
        <w:sz w:val="22"/>
      </w:rPr>
    </w:lvl>
    <w:lvl w:ilvl="3">
      <w:start w:val="1"/>
      <w:numFmt w:val="lowerLetter"/>
      <w:lvlText w:val="%4)"/>
      <w:lvlJc w:val="left"/>
      <w:pPr>
        <w:ind w:left="284" w:hanging="284"/>
      </w:pPr>
      <w:rPr>
        <w:rFonts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</w:abstractNum>
  <w:abstractNum w:abstractNumId="5" w15:restartNumberingAfterBreak="0">
    <w:nsid w:val="3FD21E0B"/>
    <w:multiLevelType w:val="hybridMultilevel"/>
    <w:tmpl w:val="67F462D0"/>
    <w:lvl w:ilvl="0" w:tplc="F39A2414">
      <w:start w:val="1"/>
      <w:numFmt w:val="decimalZero"/>
      <w:lvlText w:val="SO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B182F"/>
    <w:multiLevelType w:val="multilevel"/>
    <w:tmpl w:val="76C6E970"/>
    <w:lvl w:ilvl="0">
      <w:start w:val="1"/>
      <w:numFmt w:val="decimal"/>
      <w:pStyle w:val="Nadpis2"/>
      <w:suff w:val="space"/>
      <w:lvlText w:val="%1."/>
      <w:lvlJc w:val="left"/>
      <w:pPr>
        <w:ind w:left="284" w:hanging="284"/>
      </w:pPr>
      <w:rPr>
        <w:rFonts w:ascii="Segoe UI" w:hAnsi="Segoe UI" w:hint="default"/>
        <w:b/>
        <w:i w:val="0"/>
        <w:caps/>
        <w:sz w:val="24"/>
      </w:rPr>
    </w:lvl>
    <w:lvl w:ilvl="1">
      <w:start w:val="1"/>
      <w:numFmt w:val="decimal"/>
      <w:pStyle w:val="Nadpis3"/>
      <w:suff w:val="space"/>
      <w:lvlText w:val="%1.%2."/>
      <w:lvlJc w:val="left"/>
      <w:pPr>
        <w:ind w:left="340" w:hanging="340"/>
      </w:pPr>
      <w:rPr>
        <w:rFonts w:ascii="Segoe UI" w:hAnsi="Segoe UI" w:hint="default"/>
        <w:b/>
        <w:i w:val="0"/>
        <w:caps w:val="0"/>
        <w:sz w:val="22"/>
      </w:rPr>
    </w:lvl>
    <w:lvl w:ilvl="2">
      <w:start w:val="1"/>
      <w:numFmt w:val="lowerLetter"/>
      <w:pStyle w:val="Nadpis4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85B628B"/>
    <w:multiLevelType w:val="hybridMultilevel"/>
    <w:tmpl w:val="E24AD8EA"/>
    <w:lvl w:ilvl="0" w:tplc="25D85CC2">
      <w:start w:val="1"/>
      <w:numFmt w:val="lowerLetter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66592822"/>
    <w:multiLevelType w:val="multilevel"/>
    <w:tmpl w:val="898C2578"/>
    <w:lvl w:ilvl="0">
      <w:start w:val="1"/>
      <w:numFmt w:val="ordinal"/>
      <w:lvlText w:val="D.1.1.%1"/>
      <w:lvlJc w:val="left"/>
      <w:pPr>
        <w:ind w:left="0" w:firstLine="0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340" w:hanging="34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510"/>
        </w:tabs>
        <w:ind w:left="567" w:hanging="283"/>
      </w:pPr>
      <w:rPr>
        <w:rFonts w:hint="default"/>
        <w:u w:val="none"/>
      </w:rPr>
    </w:lvl>
    <w:lvl w:ilvl="3">
      <w:start w:val="1"/>
      <w:numFmt w:val="none"/>
      <w:lvlText w:val="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69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23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00" w:hanging="2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7093"/>
    <w:rsid w:val="00067B9F"/>
    <w:rsid w:val="0009592F"/>
    <w:rsid w:val="00212295"/>
    <w:rsid w:val="003C1EAB"/>
    <w:rsid w:val="00536325"/>
    <w:rsid w:val="006E4A67"/>
    <w:rsid w:val="007425B5"/>
    <w:rsid w:val="008639FE"/>
    <w:rsid w:val="008666DC"/>
    <w:rsid w:val="0086670A"/>
    <w:rsid w:val="008B770B"/>
    <w:rsid w:val="008C27F2"/>
    <w:rsid w:val="00982434"/>
    <w:rsid w:val="00A44422"/>
    <w:rsid w:val="00D27093"/>
    <w:rsid w:val="00D27F77"/>
    <w:rsid w:val="00E43E91"/>
    <w:rsid w:val="00EF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FFF47D"/>
  <w15:chartTrackingRefBased/>
  <w15:docId w15:val="{29DE20A3-FEC9-48C9-B560-6F7BF57E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line="276" w:lineRule="auto"/>
      <w:ind w:left="284"/>
    </w:pPr>
    <w:rPr>
      <w:rFonts w:ascii="Segoe UI" w:hAnsi="Segoe UI"/>
      <w:color w:val="595959"/>
      <w:sz w:val="22"/>
      <w:szCs w:val="22"/>
      <w:lang w:eastAsia="en-US"/>
    </w:rPr>
  </w:style>
  <w:style w:type="paragraph" w:styleId="Nadpis1">
    <w:name w:val="heading 1"/>
    <w:basedOn w:val="Normln"/>
    <w:next w:val="Nadpis2"/>
    <w:qFormat/>
    <w:pPr>
      <w:keepNext/>
      <w:keepLines/>
      <w:spacing w:after="120"/>
      <w:ind w:left="0"/>
      <w:jc w:val="center"/>
      <w:outlineLvl w:val="0"/>
    </w:pPr>
    <w:rPr>
      <w:rFonts w:eastAsia="Times New Roman" w:cs="Arial"/>
      <w:b/>
      <w:bCs/>
      <w:caps/>
      <w:sz w:val="28"/>
      <w:szCs w:val="28"/>
    </w:rPr>
  </w:style>
  <w:style w:type="paragraph" w:styleId="Nadpis2">
    <w:name w:val="heading 2"/>
    <w:basedOn w:val="Normln"/>
    <w:next w:val="Nadpis3"/>
    <w:qFormat/>
    <w:pPr>
      <w:keepNext/>
      <w:keepLines/>
      <w:numPr>
        <w:numId w:val="19"/>
      </w:numPr>
      <w:spacing w:before="240" w:after="120"/>
      <w:outlineLvl w:val="1"/>
    </w:pPr>
    <w:rPr>
      <w:b/>
      <w:bCs/>
      <w:caps/>
      <w:sz w:val="24"/>
      <w:szCs w:val="26"/>
    </w:rPr>
  </w:style>
  <w:style w:type="paragraph" w:styleId="Nadpis3">
    <w:name w:val="heading 3"/>
    <w:basedOn w:val="Normln"/>
    <w:next w:val="Nadpis4"/>
    <w:qFormat/>
    <w:pPr>
      <w:keepNext/>
      <w:keepLines/>
      <w:numPr>
        <w:ilvl w:val="1"/>
        <w:numId w:val="19"/>
      </w:numPr>
      <w:spacing w:before="24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keepLines/>
      <w:numPr>
        <w:ilvl w:val="2"/>
        <w:numId w:val="19"/>
      </w:numPr>
      <w:spacing w:before="120" w:after="60"/>
      <w:outlineLvl w:val="3"/>
    </w:pPr>
    <w:rPr>
      <w:rFonts w:eastAsia="Times New Roman"/>
      <w:b/>
      <w:bCs/>
      <w:iCs/>
    </w:rPr>
  </w:style>
  <w:style w:type="paragraph" w:styleId="Nadpis5">
    <w:name w:val="heading 5"/>
    <w:basedOn w:val="Normln"/>
    <w:next w:val="Normln"/>
    <w:qFormat/>
    <w:pPr>
      <w:keepNext/>
      <w:keepLines/>
      <w:jc w:val="center"/>
      <w:outlineLvl w:val="4"/>
    </w:pPr>
    <w:rPr>
      <w:rFonts w:eastAsia="Times New Roman"/>
      <w:b/>
      <w:sz w:val="36"/>
    </w:rPr>
  </w:style>
  <w:style w:type="paragraph" w:styleId="Nadpis6">
    <w:name w:val="heading 6"/>
    <w:aliases w:val="Stavební objekty"/>
    <w:basedOn w:val="Normln"/>
    <w:qFormat/>
    <w:pPr>
      <w:keepNext/>
      <w:keepLines/>
      <w:spacing w:before="40"/>
      <w:outlineLvl w:val="5"/>
    </w:pPr>
    <w:rPr>
      <w:rFonts w:eastAsia="Times New Roman"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rPr>
      <w:rFonts w:ascii="Segoe UI" w:eastAsia="Times New Roman" w:hAnsi="Segoe UI" w:cs="Arial"/>
      <w:b/>
      <w:bCs/>
      <w:caps/>
      <w:sz w:val="28"/>
      <w:szCs w:val="28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semiHidden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customStyle="1" w:styleId="Nadpis2Char">
    <w:name w:val="Nadpis 2 Char"/>
    <w:rPr>
      <w:rFonts w:ascii="Segoe UI" w:hAnsi="Segoe UI"/>
      <w:b/>
      <w:bCs/>
      <w:caps/>
      <w:sz w:val="24"/>
      <w:szCs w:val="26"/>
    </w:rPr>
  </w:style>
  <w:style w:type="character" w:customStyle="1" w:styleId="Nadpis3Char">
    <w:name w:val="Nadpis 3 Char"/>
    <w:rPr>
      <w:rFonts w:ascii="Segoe UI" w:hAnsi="Segoe UI"/>
      <w:b/>
    </w:rPr>
  </w:style>
  <w:style w:type="character" w:styleId="Sledovanodkaz">
    <w:name w:val="FollowedHyperlink"/>
    <w:semiHidden/>
    <w:unhideWhenUsed/>
    <w:rPr>
      <w:color w:val="800080"/>
      <w:u w:val="single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customStyle="1" w:styleId="Nadpis4Char">
    <w:name w:val="Nadpis 4 Char"/>
    <w:rPr>
      <w:rFonts w:ascii="Segoe UI" w:eastAsia="Times New Roman" w:hAnsi="Segoe UI" w:cs="Times New Roman"/>
      <w:b/>
      <w:bCs/>
      <w:i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unhideWhenUsed/>
    <w:rPr>
      <w:sz w:val="16"/>
      <w:szCs w:val="16"/>
    </w:rPr>
  </w:style>
  <w:style w:type="paragraph" w:styleId="Textkomente">
    <w:name w:val="annotation text"/>
    <w:basedOn w:val="Normln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semiHidden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unhideWhenUsed/>
    <w:rPr>
      <w:b/>
      <w:bCs/>
    </w:rPr>
  </w:style>
  <w:style w:type="character" w:customStyle="1" w:styleId="PedmtkomenteChar">
    <w:name w:val="Předmět komentáře Char"/>
    <w:semiHidden/>
    <w:rPr>
      <w:b/>
      <w:bCs/>
      <w:sz w:val="20"/>
      <w:szCs w:val="20"/>
    </w:rPr>
  </w:style>
  <w:style w:type="character" w:customStyle="1" w:styleId="apple-converted-space">
    <w:name w:val="apple-converted-space"/>
    <w:basedOn w:val="Standardnpsmoodstavce"/>
  </w:style>
  <w:style w:type="character" w:customStyle="1" w:styleId="Nadpis5Char">
    <w:name w:val="Nadpis 5 Char"/>
    <w:rPr>
      <w:rFonts w:ascii="Segoe UI" w:eastAsia="Times New Roman" w:hAnsi="Segoe UI" w:cs="Times New Roman"/>
      <w:b/>
      <w:sz w:val="36"/>
    </w:rPr>
  </w:style>
  <w:style w:type="paragraph" w:customStyle="1" w:styleId="DPodstavec">
    <w:name w:val="_DP_odstavec"/>
    <w:basedOn w:val="Normln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Zkladntextodsazen">
    <w:name w:val="Body Text Indent"/>
    <w:basedOn w:val="Normln"/>
    <w:semiHidden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ZkladntextodsazenChar">
    <w:name w:val="Základní text odsazený Char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pPr>
      <w:spacing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Bezmezer1">
    <w:name w:val="Bez mezer1"/>
    <w:aliases w:val="Odrážky"/>
    <w:qFormat/>
    <w:pPr>
      <w:numPr>
        <w:numId w:val="2"/>
      </w:numPr>
    </w:pPr>
    <w:rPr>
      <w:rFonts w:ascii="Arial" w:hAnsi="Arial"/>
      <w:color w:val="595959"/>
      <w:sz w:val="22"/>
      <w:szCs w:val="22"/>
      <w:lang w:eastAsia="en-US"/>
    </w:rPr>
  </w:style>
  <w:style w:type="paragraph" w:styleId="Zkladntext2">
    <w:name w:val="Body Text 2"/>
    <w:basedOn w:val="Normln"/>
    <w:semiHidden/>
    <w:unhideWhenUsed/>
    <w:pPr>
      <w:spacing w:after="120" w:line="480" w:lineRule="auto"/>
    </w:pPr>
  </w:style>
  <w:style w:type="character" w:customStyle="1" w:styleId="Zkladntext2Char">
    <w:name w:val="Základní text 2 Char"/>
    <w:semiHidden/>
    <w:rPr>
      <w:rFonts w:ascii="Arial" w:hAnsi="Arial"/>
    </w:rPr>
  </w:style>
  <w:style w:type="paragraph" w:styleId="Nzev">
    <w:name w:val="Title"/>
    <w:basedOn w:val="Normln"/>
    <w:next w:val="Nadpis1"/>
    <w:qFormat/>
    <w:pPr>
      <w:spacing w:before="1200" w:after="800"/>
      <w:ind w:left="0"/>
      <w:jc w:val="center"/>
    </w:pPr>
    <w:rPr>
      <w:b/>
      <w:caps/>
      <w:sz w:val="52"/>
      <w:szCs w:val="32"/>
    </w:rPr>
  </w:style>
  <w:style w:type="character" w:customStyle="1" w:styleId="NzevChar">
    <w:name w:val="Název Char"/>
    <w:rPr>
      <w:rFonts w:ascii="Segoe UI" w:hAnsi="Segoe UI"/>
      <w:b/>
      <w:caps/>
      <w:sz w:val="52"/>
      <w:szCs w:val="32"/>
    </w:rPr>
  </w:style>
  <w:style w:type="character" w:customStyle="1" w:styleId="Nadpis6Char">
    <w:name w:val="Nadpis 6 Char"/>
    <w:aliases w:val="Stavební objekty Char"/>
    <w:rPr>
      <w:rFonts w:ascii="Segoe UI" w:eastAsia="Times New Roman" w:hAnsi="Segoe UI" w:cs="Times New Roman"/>
      <w:color w:val="243F60"/>
    </w:rPr>
  </w:style>
  <w:style w:type="paragraph" w:styleId="Revize">
    <w:name w:val="Revision"/>
    <w:hidden/>
    <w:semiHidden/>
    <w:rPr>
      <w:rFonts w:ascii="Segoe UI" w:hAnsi="Segoe UI"/>
      <w:sz w:val="22"/>
      <w:szCs w:val="22"/>
      <w:lang w:eastAsia="en-US"/>
    </w:rPr>
  </w:style>
  <w:style w:type="character" w:styleId="Zstupntext">
    <w:name w:val="Placeholder Text"/>
    <w:semiHidden/>
    <w:rPr>
      <w:color w:val="808080"/>
    </w:rPr>
  </w:style>
  <w:style w:type="paragraph" w:customStyle="1" w:styleId="Doplnit">
    <w:name w:val="Doplnit"/>
    <w:basedOn w:val="Normln"/>
    <w:qFormat/>
    <w:pPr>
      <w:spacing w:before="1200" w:after="600" w:line="240" w:lineRule="auto"/>
      <w:ind w:left="0"/>
      <w:jc w:val="center"/>
    </w:pPr>
    <w:rPr>
      <w:noProof/>
      <w:color w:val="C00000"/>
      <w:lang w:eastAsia="cs-CZ"/>
    </w:rPr>
  </w:style>
  <w:style w:type="character" w:customStyle="1" w:styleId="DoplnitChar">
    <w:name w:val="Doplnit Char"/>
    <w:rPr>
      <w:rFonts w:ascii="Segoe UI" w:hAnsi="Segoe UI"/>
      <w:noProof/>
      <w:color w:val="C00000"/>
      <w:lang w:eastAsia="cs-CZ"/>
    </w:rPr>
  </w:style>
  <w:style w:type="paragraph" w:styleId="Nadpisobsahu">
    <w:name w:val="TOC Heading"/>
    <w:basedOn w:val="Nadpis1"/>
    <w:next w:val="Normln"/>
    <w:qFormat/>
    <w:pPr>
      <w:spacing w:before="240" w:after="0" w:line="259" w:lineRule="auto"/>
      <w:jc w:val="left"/>
      <w:outlineLvl w:val="9"/>
    </w:pPr>
    <w:rPr>
      <w:rFonts w:ascii="Cambria" w:hAnsi="Cambria" w:cs="Times New Roman"/>
      <w:b w:val="0"/>
      <w:bCs w:val="0"/>
      <w:caps w:val="0"/>
      <w:color w:val="365F91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pPr>
      <w:spacing w:after="100"/>
      <w:ind w:left="0"/>
    </w:p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06-499/zneni-201801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352;ablony\V&#253;robky%20+%20Slu&#382;by\Projekce\&#352;ablony\Nov&#233;\_&#352;ablony\ZZZ%20-%20RRMMDD%20-%20D.1.1.1.%20Technick&#225;%20zpr&#225;va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ZZZ - RRMMDD - D.1.1.1. Technická zpráva.dotx</Template>
  <TotalTime>49</TotalTime>
  <Pages>8</Pages>
  <Words>2151</Words>
  <Characters>12694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14816</CharactersWithSpaces>
  <SharedDoc>false</SharedDoc>
  <HLinks>
    <vt:vector size="102" baseType="variant">
      <vt:variant>
        <vt:i4>1245232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_Toc517413324</vt:lpwstr>
      </vt:variant>
      <vt:variant>
        <vt:i4>1245232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_Toc517413323</vt:lpwstr>
      </vt:variant>
      <vt:variant>
        <vt:i4>1245232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_Toc517413322</vt:lpwstr>
      </vt:variant>
      <vt:variant>
        <vt:i4>1245232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_Toc517413321</vt:lpwstr>
      </vt:variant>
      <vt:variant>
        <vt:i4>1245232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_Toc517413320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_Toc517413319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_Toc517413318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_Toc517413317</vt:lpwstr>
      </vt:variant>
      <vt:variant>
        <vt:i4>1048624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_Toc517413316</vt:lpwstr>
      </vt:variant>
      <vt:variant>
        <vt:i4>1048624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_Toc517413315</vt:lpwstr>
      </vt:variant>
      <vt:variant>
        <vt:i4>1048624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_Toc517413314</vt:lpwstr>
      </vt:variant>
      <vt:variant>
        <vt:i4>1048624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_Toc517413313</vt:lpwstr>
      </vt:variant>
      <vt:variant>
        <vt:i4>1048624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_Toc517413312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_Toc517413311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_Toc517413310</vt:lpwstr>
      </vt:variant>
      <vt:variant>
        <vt:i4>1114160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_Toc517413309</vt:lpwstr>
      </vt:variant>
      <vt:variant>
        <vt:i4>4980806</vt:i4>
      </vt:variant>
      <vt:variant>
        <vt:i4>0</vt:i4>
      </vt:variant>
      <vt:variant>
        <vt:i4>0</vt:i4>
      </vt:variant>
      <vt:variant>
        <vt:i4>5</vt:i4>
      </vt:variant>
      <vt:variant>
        <vt:lpwstr>https://www.zakonyprolidi.cz/cs/2006-499/zneni-20180101</vt:lpwstr>
      </vt:variant>
      <vt:variant>
        <vt:lpwstr>Top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Křupka Jaromír</dc:creator>
  <cp:keywords/>
  <cp:lastModifiedBy>Křupka Jaromír</cp:lastModifiedBy>
  <cp:revision>13</cp:revision>
  <cp:lastPrinted>2018-12-11T02:55:00Z</cp:lastPrinted>
  <dcterms:created xsi:type="dcterms:W3CDTF">2018-12-11T01:55:00Z</dcterms:created>
  <dcterms:modified xsi:type="dcterms:W3CDTF">2018-12-11T04:43:00Z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0x01010036F76A01F300D8419692214D62CAEDD10100B922F51F7BB0824AA3DC97AFB17C0392</vt:lpwstr>
  </property>
  <property fmtid="{D5CDD505-2E9C-101B-9397-08002B2CF9AE}" pid="4" name="_dlc_DocIdItemGuid">
    <vt:lpwstr>0db9f19b-13f8-4031-8abb-987c74c2e603</vt:lpwstr>
  </property>
  <property fmtid="{D5CDD505-2E9C-101B-9397-08002B2CF9AE}" pid="5" name="TaxKeyword">
    <vt:lpwstr/>
  </property>
  <property fmtid="{D5CDD505-2E9C-101B-9397-08002B2CF9AE}" pid="6" name="Dokument">
    <vt:lpwstr>505;#Projekt|9e7dd9ed-258c-4f38-a68b-bb0ee17e5610</vt:lpwstr>
  </property>
  <property fmtid="{D5CDD505-2E9C-101B-9397-08002B2CF9AE}" pid="7" name="Pracovník 2 (MM)">
    <vt:lpwstr/>
  </property>
  <property fmtid="{D5CDD505-2E9C-101B-9397-08002B2CF9AE}" pid="8" name="Pracovník 4 (MM)">
    <vt:lpwstr/>
  </property>
  <property fmtid="{D5CDD505-2E9C-101B-9397-08002B2CF9AE}" pid="9" name="Firma">
    <vt:lpwstr>63;#TOLZA|4ef3b830-e2d0-4109-8ec8-cd2c3e0b97f7</vt:lpwstr>
  </property>
  <property fmtid="{D5CDD505-2E9C-101B-9397-08002B2CF9AE}" pid="10" name="Pracovník 5 (MM)">
    <vt:lpwstr/>
  </property>
  <property fmtid="{D5CDD505-2E9C-101B-9397-08002B2CF9AE}" pid="11" name="Pracovník 3 (MM)">
    <vt:lpwstr/>
  </property>
  <property fmtid="{D5CDD505-2E9C-101B-9397-08002B2CF9AE}" pid="12" name="Pracovník 1 (MM)">
    <vt:lpwstr/>
  </property>
  <property fmtid="{D5CDD505-2E9C-101B-9397-08002B2CF9AE}" pid="13" name="Partner">
    <vt:lpwstr/>
  </property>
  <property fmtid="{D5CDD505-2E9C-101B-9397-08002B2CF9AE}" pid="14" name="Zakázka">
    <vt:lpwstr/>
  </property>
  <property fmtid="{D5CDD505-2E9C-101B-9397-08002B2CF9AE}" pid="15" name="Oblast">
    <vt:lpwstr>521;#V+S|fbe10946-721f-4550-afdf-d391cd38c88c</vt:lpwstr>
  </property>
  <property fmtid="{D5CDD505-2E9C-101B-9397-08002B2CF9AE}" pid="16" name="Order">
    <vt:r8>14600</vt:r8>
  </property>
  <property fmtid="{D5CDD505-2E9C-101B-9397-08002B2CF9AE}" pid="17" name="Pracovník 2">
    <vt:lpwstr/>
  </property>
  <property fmtid="{D5CDD505-2E9C-101B-9397-08002B2CF9AE}" pid="18" name="xd_ProgID">
    <vt:lpwstr/>
  </property>
  <property fmtid="{D5CDD505-2E9C-101B-9397-08002B2CF9AE}" pid="19" name="Pracovník 5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TemplateUrl">
    <vt:lpwstr/>
  </property>
  <property fmtid="{D5CDD505-2E9C-101B-9397-08002B2CF9AE}" pid="23" name="Pracovník 3">
    <vt:lpwstr/>
  </property>
  <property fmtid="{D5CDD505-2E9C-101B-9397-08002B2CF9AE}" pid="24" name="_CopySource">
    <vt:lpwstr>https://sharepoint.surlie.cz/sites/kastanka/Sablony/TOL - 170410 - D.1.1. Technická zpráva.dotx</vt:lpwstr>
  </property>
  <property fmtid="{D5CDD505-2E9C-101B-9397-08002B2CF9AE}" pid="25" name="Pracovník 1">
    <vt:lpwstr/>
  </property>
  <property fmtid="{D5CDD505-2E9C-101B-9397-08002B2CF9AE}" pid="26" name="Pracovník 4">
    <vt:lpwstr/>
  </property>
  <property fmtid="{D5CDD505-2E9C-101B-9397-08002B2CF9AE}" pid="27" name="Metadata">
    <vt:lpwstr/>
  </property>
  <property fmtid="{D5CDD505-2E9C-101B-9397-08002B2CF9AE}" pid="28" name="4. pád statutárního orgánu">
    <vt:lpwstr>předsedy představenstva</vt:lpwstr>
  </property>
  <property fmtid="{D5CDD505-2E9C-101B-9397-08002B2CF9AE}" pid="29" name="1. pád statutárního orgánu">
    <vt:lpwstr>předseda představenstva</vt:lpwstr>
  </property>
  <property fmtid="{D5CDD505-2E9C-101B-9397-08002B2CF9AE}" pid="30" name="ac0e0f6542e3479492bcb07a949fdcb1">
    <vt:lpwstr>Projekt|9e7dd9ed-258c-4f38-a68b-bb0ee17e5610</vt:lpwstr>
  </property>
  <property fmtid="{D5CDD505-2E9C-101B-9397-08002B2CF9AE}" pid="31" name="TaxCatchAll">
    <vt:lpwstr>505;#;#63;#</vt:lpwstr>
  </property>
  <property fmtid="{D5CDD505-2E9C-101B-9397-08002B2CF9AE}" pid="32" name="Datum účetní závěrky">
    <vt:lpwstr>2017-04-10T15:16:24Z</vt:lpwstr>
  </property>
  <property fmtid="{D5CDD505-2E9C-101B-9397-08002B2CF9AE}" pid="33" name="Právní forma společnosti">
    <vt:lpwstr>a.s.</vt:lpwstr>
  </property>
  <property fmtid="{D5CDD505-2E9C-101B-9397-08002B2CF9AE}" pid="34" name="cd0a18d4e3364f9b82b1b5d45e42f889">
    <vt:lpwstr/>
  </property>
  <property fmtid="{D5CDD505-2E9C-101B-9397-08002B2CF9AE}" pid="35" name="Listna">
    <vt:lpwstr>Ne</vt:lpwstr>
  </property>
  <property fmtid="{D5CDD505-2E9C-101B-9397-08002B2CF9AE}" pid="36" name="b1f5eb3e0a6f492fb54b710c68fc6d4d">
    <vt:lpwstr/>
  </property>
  <property fmtid="{D5CDD505-2E9C-101B-9397-08002B2CF9AE}" pid="37" name="Příznak">
    <vt:lpwstr/>
  </property>
  <property fmtid="{D5CDD505-2E9C-101B-9397-08002B2CF9AE}" pid="38" name="k4e78c6abb1e4288b3f9a9adf2fb6c9d">
    <vt:lpwstr>TOLZA|4ef3b830-e2d0-4109-8ec8-cd2c3e0b97f7</vt:lpwstr>
  </property>
  <property fmtid="{D5CDD505-2E9C-101B-9397-08002B2CF9AE}" pid="39" name="ebb2245552544d91bd9da61c5879e49a">
    <vt:lpwstr/>
  </property>
  <property fmtid="{D5CDD505-2E9C-101B-9397-08002B2CF9AE}" pid="40" name="kc395ed017854a238b4ea93d9f409e0d">
    <vt:lpwstr/>
  </property>
  <property fmtid="{D5CDD505-2E9C-101B-9397-08002B2CF9AE}" pid="41" name="aac5a7e914004de59bf9e57ebe07f746">
    <vt:lpwstr/>
  </property>
  <property fmtid="{D5CDD505-2E9C-101B-9397-08002B2CF9AE}" pid="42" name="Odkaz">
    <vt:lpwstr>https://sharepoint.surlie.cz/sites/kastanka/Sablony/TOL%20-%20170410%20-%20D.1.1.%20Technick%C3%A1%20zpr%C3%A1va.dotx</vt:lpwstr>
  </property>
  <property fmtid="{D5CDD505-2E9C-101B-9397-08002B2CF9AE}" pid="43" name="Platnost">
    <vt:lpwstr>2017-04-10T00:00:00Z</vt:lpwstr>
  </property>
  <property fmtid="{D5CDD505-2E9C-101B-9397-08002B2CF9AE}" pid="44" name="Poznámka">
    <vt:lpwstr>Technická zpráva</vt:lpwstr>
  </property>
  <property fmtid="{D5CDD505-2E9C-101B-9397-08002B2CF9AE}" pid="45" name="p32cab9829bb4b2c9cdaacfc6397b13a">
    <vt:lpwstr/>
  </property>
  <property fmtid="{D5CDD505-2E9C-101B-9397-08002B2CF9AE}" pid="46" name="TaxKeywordTaxHTField">
    <vt:lpwstr/>
  </property>
  <property fmtid="{D5CDD505-2E9C-101B-9397-08002B2CF9AE}" pid="47" name="Sídlo společnosti">
    <vt:lpwstr/>
  </property>
  <property fmtid="{D5CDD505-2E9C-101B-9397-08002B2CF9AE}" pid="48" name="Sběr-dat">
    <vt:lpwstr/>
  </property>
  <property fmtid="{D5CDD505-2E9C-101B-9397-08002B2CF9AE}" pid="49" name="Název dokumentu">
    <vt:lpwstr>Šab - 170410 - Projekt</vt:lpwstr>
  </property>
  <property fmtid="{D5CDD505-2E9C-101B-9397-08002B2CF9AE}" pid="50" name="i0e1d557d976419cb7721400920ed9d3">
    <vt:lpwstr/>
  </property>
  <property fmtid="{D5CDD505-2E9C-101B-9397-08002B2CF9AE}" pid="51" name="_dlc_DocId">
    <vt:lpwstr>SPOLECNOSTI-41-132</vt:lpwstr>
  </property>
  <property fmtid="{D5CDD505-2E9C-101B-9397-08002B2CF9AE}" pid="52" name="_dlc_DocIdPersistId">
    <vt:lpwstr>1</vt:lpwstr>
  </property>
  <property fmtid="{D5CDD505-2E9C-101B-9397-08002B2CF9AE}" pid="53" name="_dlc_DocIdUrl">
    <vt:lpwstr>https://sharepoint.surlie.cz/sites/kastanka/_layouts/15/DocIdRedir.aspx?ID=SPOLECNOSTI-41-132, SPOLECNOSTI-41-132</vt:lpwstr>
  </property>
  <property fmtid="{D5CDD505-2E9C-101B-9397-08002B2CF9AE}" pid="54" name="Partneri">
    <vt:lpwstr/>
  </property>
  <property fmtid="{D5CDD505-2E9C-101B-9397-08002B2CF9AE}" pid="55" name="VerzePartnerovi">
    <vt:lpwstr/>
  </property>
  <property fmtid="{D5CDD505-2E9C-101B-9397-08002B2CF9AE}" pid="56" name="KonecPlatnostiPartner">
    <vt:lpwstr/>
  </property>
  <property fmtid="{D5CDD505-2E9C-101B-9397-08002B2CF9AE}" pid="57" name="Aktivní">
    <vt:lpwstr>1</vt:lpwstr>
  </property>
  <property fmtid="{D5CDD505-2E9C-101B-9397-08002B2CF9AE}" pid="58" name="Odka">
    <vt:lpwstr/>
  </property>
</Properties>
</file>